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proposing cancellation of the Company's registration under Rule 22 on the ground of input tax credit allegedly availed from a non-existent supplier, the cancellation being unsustainable in law and disproportionate, and the underlying ITC dispute being sub judice in a separate Section 73/74 proceeding — SCN in Form GST REG-17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for cancellation of registration in Form GST REG-17, Reference No. [____] dated [____]; separate SCN under Section 73/74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authority is marked [VERIFY] for a final check before filing. The facts (a REG-17 cancellation SCN founded on an ITC allegation against one supplier worth Rs. 5 out of 25 suppliers; a separate, pending Section 73/74 SCN on the same ITC) are reproduced from the source, as is the text of Rule 21 relied on.</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proposes to cancel the Company's registration under Rule 22 on the ground that it availed input tax credit of Rs. [____] from a supplier said to be non-existent. The proposal is misconceived. </w:t>
      </w:r>
      <w:r>
        <w:rPr>
          <w:rFonts w:ascii="Times New Roman" w:cs="Times New Roman" w:eastAsia="Times New Roman" w:hAnsi="Times New Roman"/>
          <w:b/>
          <w:bCs/>
          <w:i w:val="false"/>
          <w:iCs w:val="false"/>
          <w:caps w:val="false"/>
          <w:sz w:val="24"/>
          <w:szCs w:val="24"/>
        </w:rPr>
        <w:t xml:space="preserve">First</w:t>
      </w:r>
      <w:r>
        <w:rPr>
          <w:rFonts w:ascii="Times New Roman" w:cs="Times New Roman" w:eastAsia="Times New Roman" w:hAnsi="Times New Roman"/>
          <w:b w:val="false"/>
          <w:bCs w:val="false"/>
          <w:i w:val="false"/>
          <w:iCs w:val="false"/>
          <w:caps w:val="false"/>
          <w:sz w:val="24"/>
          <w:szCs w:val="24"/>
        </w:rPr>
        <w:t xml:space="preserve">, the grounds for cancellation are exhaustively listed in Section 29 read with Rule 21; an allegation that a recipient availed credit from a supplier later found non-existent is </w:t>
      </w:r>
      <w:r>
        <w:rPr>
          <w:rFonts w:ascii="Times New Roman" w:cs="Times New Roman" w:eastAsia="Times New Roman" w:hAnsi="Times New Roman"/>
          <w:b/>
          <w:bCs/>
          <w:i w:val="false"/>
          <w:iCs w:val="false"/>
          <w:caps w:val="false"/>
          <w:sz w:val="24"/>
          <w:szCs w:val="24"/>
        </w:rPr>
        <w:t xml:space="preserve">not one of them</w:t>
      </w:r>
      <w:r>
        <w:rPr>
          <w:rFonts w:ascii="Times New Roman" w:cs="Times New Roman" w:eastAsia="Times New Roman" w:hAnsi="Times New Roman"/>
          <w:b w:val="false"/>
          <w:bCs w:val="false"/>
          <w:i w:val="false"/>
          <w:iCs w:val="false"/>
          <w:caps w:val="false"/>
          <w:sz w:val="24"/>
          <w:szCs w:val="24"/>
        </w:rPr>
        <w:t xml:space="preserve"> — the recipient's registration cannot be cancelled for the supplier's fault. </w:t>
      </w:r>
      <w:r>
        <w:rPr>
          <w:rFonts w:ascii="Times New Roman" w:cs="Times New Roman" w:eastAsia="Times New Roman" w:hAnsi="Times New Roman"/>
          <w:b/>
          <w:bCs/>
          <w:i w:val="false"/>
          <w:iCs w:val="false"/>
          <w:caps w:val="false"/>
          <w:sz w:val="24"/>
          <w:szCs w:val="24"/>
        </w:rPr>
        <w:t xml:space="preserve">Second</w:t>
      </w:r>
      <w:r>
        <w:rPr>
          <w:rFonts w:ascii="Times New Roman" w:cs="Times New Roman" w:eastAsia="Times New Roman" w:hAnsi="Times New Roman"/>
          <w:b w:val="false"/>
          <w:bCs w:val="false"/>
          <w:i w:val="false"/>
          <w:iCs w:val="false"/>
          <w:caps w:val="false"/>
          <w:sz w:val="24"/>
          <w:szCs w:val="24"/>
        </w:rPr>
        <w:t xml:space="preserve">, the very ITC is the subject of a separate, pending Section 73/74 proceeding in which the Company has filed a detailed reply; cancellation pre-empts that adjudication and is premature. </w:t>
      </w:r>
      <w:r>
        <w:rPr>
          <w:rFonts w:ascii="Times New Roman" w:cs="Times New Roman" w:eastAsia="Times New Roman" w:hAnsi="Times New Roman"/>
          <w:b/>
          <w:bCs/>
          <w:i w:val="false"/>
          <w:iCs w:val="false"/>
          <w:caps w:val="false"/>
          <w:sz w:val="24"/>
          <w:szCs w:val="24"/>
        </w:rPr>
        <w:t xml:space="preserve">Third</w:t>
      </w:r>
      <w:r>
        <w:rPr>
          <w:rFonts w:ascii="Times New Roman" w:cs="Times New Roman" w:eastAsia="Times New Roman" w:hAnsi="Times New Roman"/>
          <w:b w:val="false"/>
          <w:bCs w:val="false"/>
          <w:i w:val="false"/>
          <w:iCs w:val="false"/>
          <w:caps w:val="false"/>
          <w:sz w:val="24"/>
          <w:szCs w:val="24"/>
        </w:rPr>
        <w:t xml:space="preserve">, cancellation is a </w:t>
      </w:r>
      <w:r>
        <w:rPr>
          <w:rFonts w:ascii="Times New Roman" w:cs="Times New Roman" w:eastAsia="Times New Roman" w:hAnsi="Times New Roman"/>
          <w:b w:val="false"/>
          <w:bCs w:val="false"/>
          <w:i/>
          <w:iCs/>
          <w:caps w:val="false"/>
          <w:sz w:val="24"/>
          <w:szCs w:val="24"/>
        </w:rPr>
        <w:t xml:space="preserve">disproportionate</w:t>
      </w:r>
      <w:r>
        <w:rPr>
          <w:rFonts w:ascii="Times New Roman" w:cs="Times New Roman" w:eastAsia="Times New Roman" w:hAnsi="Times New Roman"/>
          <w:b w:val="false"/>
          <w:bCs w:val="false"/>
          <w:i w:val="false"/>
          <w:iCs w:val="false"/>
          <w:caps w:val="false"/>
          <w:sz w:val="24"/>
          <w:szCs w:val="24"/>
        </w:rPr>
        <w:t xml:space="preserve"> civil-death penalty: the impugned supplier accounts for purchases of Rs. 5 out of the Company's dealings with 25 suppliers worth Rs. [____]; to extinguish a functioning business's registration over so marginal and contested an item is wholly disproportionate.</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a functioning, return-compliant business, dealt with 25 suppliers in the relevant period, with purchases aggregating Rs.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cancellation SCN. </w:t>
      </w:r>
      <w:r>
        <w:rPr>
          <w:rFonts w:ascii="Times New Roman" w:cs="Times New Roman" w:eastAsia="Times New Roman" w:hAnsi="Times New Roman"/>
          <w:b w:val="false"/>
          <w:bCs w:val="false"/>
          <w:i w:val="false"/>
          <w:iCs w:val="false"/>
          <w:caps w:val="false"/>
          <w:sz w:val="24"/>
          <w:szCs w:val="24"/>
        </w:rPr>
        <w:t xml:space="preserve">By the Impugned SCN in Form GST REG-17, the Department proposes cancellation under Rule 22 on the ground that ITC of Rs. [____] was availed from a non-existent supplier.</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marginal item. </w:t>
      </w:r>
      <w:r>
        <w:rPr>
          <w:rFonts w:ascii="Times New Roman" w:cs="Times New Roman" w:eastAsia="Times New Roman" w:hAnsi="Times New Roman"/>
          <w:b w:val="false"/>
          <w:bCs w:val="false"/>
          <w:i w:val="false"/>
          <w:iCs w:val="false"/>
          <w:caps w:val="false"/>
          <w:sz w:val="24"/>
          <w:szCs w:val="24"/>
        </w:rPr>
        <w:t xml:space="preserve">The supplier in question accounts for purchases of Rs. 5 only — a fraction of the Company's dealings; the remaining 24 suppliers and the bulk of the purchases are not impugned.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pending Section 73/74 proceeding. </w:t>
      </w:r>
      <w:r>
        <w:rPr>
          <w:rFonts w:ascii="Times New Roman" w:cs="Times New Roman" w:eastAsia="Times New Roman" w:hAnsi="Times New Roman"/>
          <w:b w:val="false"/>
          <w:bCs w:val="false"/>
          <w:i w:val="false"/>
          <w:iCs w:val="false"/>
          <w:caps w:val="false"/>
          <w:sz w:val="24"/>
          <w:szCs w:val="24"/>
        </w:rPr>
        <w:t xml:space="preserve">The same ITC is the subject of a separate SCN under Section 73/74 dated [____], to which the Company has filed a detailed reply; that adjudication is pending.</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alleged ground is not a ground for cancellation — Section 29 / Rule 21</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Cancellation of registration is permissible only on the grounds enumerated in Section 29(2) read with Rule 21 — non-conduct of business from the declared place; issuance of invoices without supply; certain contraventions of the Act / Rules; non-filing of returns for the prescribed period; and the like. Availment of ITC by a </w:t>
      </w:r>
      <w:r>
        <w:rPr>
          <w:rFonts w:ascii="Times New Roman" w:cs="Times New Roman" w:eastAsia="Times New Roman" w:hAnsi="Times New Roman"/>
          <w:b w:val="false"/>
          <w:bCs w:val="false"/>
          <w:i/>
          <w:iCs/>
          <w:caps w:val="false"/>
          <w:sz w:val="24"/>
          <w:szCs w:val="24"/>
        </w:rPr>
        <w:t xml:space="preserve">recipient</w:t>
      </w:r>
      <w:r>
        <w:rPr>
          <w:rFonts w:ascii="Times New Roman" w:cs="Times New Roman" w:eastAsia="Times New Roman" w:hAnsi="Times New Roman"/>
          <w:b w:val="false"/>
          <w:bCs w:val="false"/>
          <w:i w:val="false"/>
          <w:iCs w:val="false"/>
          <w:caps w:val="false"/>
          <w:sz w:val="24"/>
          <w:szCs w:val="24"/>
        </w:rPr>
        <w:t xml:space="preserve"> from a supplier subsequently alleged to be non-existent is not among them. The fraud, if any, of a selling dealer (resulting in the cancellation of that seller's registration) cannot result in the automatic cancellation of the purchasing dealer's registration; the consequence the Department seeks does not follow from the rule it invokes.</w:t>
      </w:r>
    </w:p>
    <w:p>
      <w:pPr>
        <w:pStyle w:val="Heading2"/>
        <w:spacing w:after="140" w:before="200"/>
      </w:pPr>
      <w:r>
        <w:rPr>
          <w:rFonts w:ascii="Times New Roman" w:cs="Times New Roman" w:eastAsia="Times New Roman" w:hAnsi="Times New Roman"/>
          <w:b/>
          <w:bCs/>
          <w:sz w:val="24"/>
          <w:szCs w:val="24"/>
        </w:rPr>
        <w:t xml:space="preserve">Submission 2: Cancellation pre-empts the pending Section 73/74 adjudication and is premature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Whether the credit from the impugned supplier is admissible is precisely the question in the separate, pending Section 73/74 proceeding, where the Company has filed a detailed reply. To cancel the registration now, on the same allegation, is to prejudge that adjudication and to punish the Company before the question is decided. The cancellation proceeding ought, at the least, to await the outcome of the Section 73/74 adjudication.</w:t>
      </w:r>
    </w:p>
    <w:p>
      <w:pPr>
        <w:pStyle w:val="Heading2"/>
        <w:spacing w:after="140" w:before="200"/>
      </w:pPr>
      <w:r>
        <w:rPr>
          <w:rFonts w:ascii="Times New Roman" w:cs="Times New Roman" w:eastAsia="Times New Roman" w:hAnsi="Times New Roman"/>
          <w:b/>
          <w:bCs/>
          <w:sz w:val="24"/>
          <w:szCs w:val="24"/>
        </w:rPr>
        <w:t xml:space="preserve">Submission 3: Cancellation is grossly disproportionate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Cancellation of registration is the commercial death of a business — it halts all supplies, breaks the ITC chain for the Company's customers, and destroys livelihoods. Such a measure must be proportionate to the gravity of the default. Here, the impugned item is Rs. 5 of purchases against dealings with 25 suppliers worth Rs. [____], and it is contested and sub judice. Visiting the extreme penalty of cancellation on so marginal and unproven an item is arbitrary and disproportionate, and offends Article 19(1)(g). At the highest, the remedy lies in the recovery proceeding, not in extinguishing the registration.</w:t>
      </w:r>
    </w:p>
    <w:p>
      <w:pPr>
        <w:pStyle w:val="Heading2"/>
        <w:spacing w:after="140" w:before="200"/>
      </w:pPr>
      <w:r>
        <w:rPr>
          <w:rFonts w:ascii="Times New Roman" w:cs="Times New Roman" w:eastAsia="Times New Roman" w:hAnsi="Times New Roman"/>
          <w:b/>
          <w:bCs/>
          <w:sz w:val="24"/>
          <w:szCs w:val="24"/>
        </w:rPr>
        <w:t xml:space="preserve">Submission 4: The Company is a bona fide recipient with the complete trail</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holds the tax invoices, evidence of receipt, and proof of payment including tax through banking channels for the impugned purchase, and is a bona fide recipient (Section 16(2); Section 155 discharged). The bona fide-recipient line — Suncraft Energy (Cal HC, SLP dismissed 14.12.2023 on low tax effect), D.Y. Beathel (Mad HC) and Diya Agencies (Ker HC) — protects its credit; a fortiori it protects its registration.</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proposal to cancel the registration, the alleged ground not being a ground for cancellation under Section 29 / Rule 21;</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cancellation is premature pending the separate Section 73/74 adjudication, and disproportionate to the marginal, contested item;</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RESTORE / continue the registration without interruption, and AFFORD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29 and 16(2) and 155 of the CGST Act, 2017; Rules 21 and 22 of the CGST Rules, 2017 (Forms GST REG-17, REG-18, REG-19); Article 19(1)(g) of the Constitution.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Suncraft Energy Pvt. Ltd. (Cal HC, MAT 1218/2023; SLP(C) 27827-27828/2023 dismissed 14.12.2023 on low tax effect); D.Y. Beathel Enterprises (Mad HC, W.P.(MD) 2127/2021); Diya Agencies (Ker HC, 2023:KER:55318). [VERIFY the jurisdictional cancellation-specific authority]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2026-06-13T08:26:25.368Z</dcterms:created>
  <dcterms:modified xsi:type="dcterms:W3CDTF">2026-06-13T08:26:25.368Z</dcterms:modified>
</cp:coreProperties>
</file>

<file path=docProps/custom.xml><?xml version="1.0" encoding="utf-8"?>
<Properties xmlns="http://schemas.openxmlformats.org/officeDocument/2006/custom-properties" xmlns:vt="http://schemas.openxmlformats.org/officeDocument/2006/docPropsVTypes"/>
</file>