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aps w:val="false"/>
          <w:sz w:val="26"/>
          <w:szCs w:val="26"/>
        </w:rPr>
        <w:t xml:space="preserve">NOTE ON THE LIMITATION PERIOD FOR FILING AN APPEAL UNDER</w:t>
      </w:r>
    </w:p>
    <w:p>
      <w:pPr>
        <w:spacing w:after="160"/>
        <w:jc w:val="center"/>
      </w:pPr>
      <w:r>
        <w:rPr>
          <w:rFonts w:ascii="Times New Roman" w:cs="Times New Roman" w:eastAsia="Times New Roman" w:hAnsi="Times New Roman"/>
          <w:b/>
          <w:bCs/>
          <w:caps w:val="false"/>
          <w:sz w:val="26"/>
          <w:szCs w:val="26"/>
        </w:rPr>
        <w:t xml:space="preserve">SECTION 107 OF THE CGST ACT, 2017 (POSITION AS ON 11 JANUARY 2022)</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This is an internal advisory note prepared for the Company’s reference; it is not a communication to the tax authorities. Every case authority and order is marked [VERIFY] for a final check before reliance. The position is stated as on 11 January 2022 (immediately after the Supreme Court’s order dated 10.01.2022 in the suo motu limitation proceedings); it must be re-confirmed for any appeal filed thereafter, as the limitation position has since evolved.</w:t>
      </w:r>
    </w:p>
    <w:p>
      <w:pPr>
        <w:pStyle w:val="Heading1"/>
        <w:spacing w:after="160" w:before="260"/>
      </w:pPr>
      <w:r>
        <w:rPr>
          <w:rFonts w:ascii="Times New Roman" w:cs="Times New Roman" w:eastAsia="Times New Roman" w:hAnsi="Times New Roman"/>
          <w:b/>
          <w:bCs/>
          <w:caps/>
          <w:sz w:val="26"/>
          <w:szCs w:val="26"/>
        </w:rPr>
        <w:t xml:space="preserve">1. The statutory limitation under Section 107</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An appeal to the Appellate Authority lies under Section 107(1) within </w:t>
      </w:r>
      <w:r>
        <w:rPr>
          <w:rFonts w:ascii="Times New Roman" w:cs="Times New Roman" w:eastAsia="Times New Roman" w:hAnsi="Times New Roman"/>
          <w:b/>
          <w:bCs/>
          <w:i w:val="false"/>
          <w:iCs w:val="false"/>
          <w:caps w:val="false"/>
          <w:sz w:val="24"/>
          <w:szCs w:val="24"/>
        </w:rPr>
        <w:t xml:space="preserve">three months</w:t>
      </w:r>
      <w:r>
        <w:rPr>
          <w:rFonts w:ascii="Times New Roman" w:cs="Times New Roman" w:eastAsia="Times New Roman" w:hAnsi="Times New Roman"/>
          <w:b w:val="false"/>
          <w:bCs w:val="false"/>
          <w:i w:val="false"/>
          <w:iCs w:val="false"/>
          <w:caps w:val="false"/>
          <w:sz w:val="24"/>
          <w:szCs w:val="24"/>
        </w:rPr>
        <w:t xml:space="preserve"> from the date on which the decision or order is communicated to the person. Under Section 107(4), the Appellate Authority may condone a further delay of up to </w:t>
      </w:r>
      <w:r>
        <w:rPr>
          <w:rFonts w:ascii="Times New Roman" w:cs="Times New Roman" w:eastAsia="Times New Roman" w:hAnsi="Times New Roman"/>
          <w:b/>
          <w:bCs/>
          <w:i w:val="false"/>
          <w:iCs w:val="false"/>
          <w:caps w:val="false"/>
          <w:sz w:val="24"/>
          <w:szCs w:val="24"/>
        </w:rPr>
        <w:t xml:space="preserve">one month</w:t>
      </w:r>
      <w:r>
        <w:rPr>
          <w:rFonts w:ascii="Times New Roman" w:cs="Times New Roman" w:eastAsia="Times New Roman" w:hAnsi="Times New Roman"/>
          <w:b w:val="false"/>
          <w:bCs w:val="false"/>
          <w:i w:val="false"/>
          <w:iCs w:val="false"/>
          <w:caps w:val="false"/>
          <w:sz w:val="24"/>
          <w:szCs w:val="24"/>
        </w:rPr>
        <w:t xml:space="preserve"> if satisfied that there was sufficient cause for not presenting the appeal within the three-month period. The outer limit, on the face of the statute, is therefore four months from communication of the order.</w:t>
      </w:r>
    </w:p>
    <w:p>
      <w:pPr>
        <w:pStyle w:val="Heading1"/>
        <w:spacing w:after="160" w:before="260"/>
      </w:pPr>
      <w:r>
        <w:rPr>
          <w:rFonts w:ascii="Times New Roman" w:cs="Times New Roman" w:eastAsia="Times New Roman" w:hAnsi="Times New Roman"/>
          <w:b/>
          <w:bCs/>
          <w:caps/>
          <w:sz w:val="26"/>
          <w:szCs w:val="26"/>
        </w:rPr>
        <w:t xml:space="preserve">2. Whether delay beyond three months plus one month can be condoned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prevailing view is that the Appellate Authority’s power to condone delay is confined to the additional one month in Section 107(4), and that delay beyond that period cannot be condoned by the Appellate Authority, the GST Act being a special statute that prescribes its own limitation and excludes Section 5 of the Limitation Act, 1963 for this purpose. This follows the approach of the Hon’ble Supreme Court in </w:t>
      </w:r>
      <w:r>
        <w:rPr>
          <w:rFonts w:ascii="Times New Roman" w:cs="Times New Roman" w:eastAsia="Times New Roman" w:hAnsi="Times New Roman"/>
          <w:b w:val="false"/>
          <w:bCs w:val="false"/>
          <w:i/>
          <w:iCs/>
          <w:caps w:val="false"/>
          <w:sz w:val="24"/>
          <w:szCs w:val="24"/>
        </w:rPr>
        <w:t xml:space="preserve">Singh Enterprises v. Commissioner of Central Excise</w:t>
      </w:r>
      <w:r>
        <w:rPr>
          <w:rFonts w:ascii="Times New Roman" w:cs="Times New Roman" w:eastAsia="Times New Roman" w:hAnsi="Times New Roman"/>
          <w:b w:val="false"/>
          <w:bCs w:val="false"/>
          <w:i w:val="false"/>
          <w:iCs w:val="false"/>
          <w:caps w:val="false"/>
          <w:sz w:val="24"/>
          <w:szCs w:val="24"/>
        </w:rPr>
        <w:t xml:space="preserve">, (2008) 3 SCC 70 [VERIFY], and </w:t>
      </w:r>
      <w:r>
        <w:rPr>
          <w:rFonts w:ascii="Times New Roman" w:cs="Times New Roman" w:eastAsia="Times New Roman" w:hAnsi="Times New Roman"/>
          <w:b w:val="false"/>
          <w:bCs w:val="false"/>
          <w:i/>
          <w:iCs/>
          <w:caps w:val="false"/>
          <w:sz w:val="24"/>
          <w:szCs w:val="24"/>
        </w:rPr>
        <w:t xml:space="preserve">Commissioner of Customs and Central Excise v. Hongo India (P) Ltd.</w:t>
      </w:r>
      <w:r>
        <w:rPr>
          <w:rFonts w:ascii="Times New Roman" w:cs="Times New Roman" w:eastAsia="Times New Roman" w:hAnsi="Times New Roman"/>
          <w:b w:val="false"/>
          <w:bCs w:val="false"/>
          <w:i w:val="false"/>
          <w:iCs w:val="false"/>
          <w:caps w:val="false"/>
          <w:sz w:val="24"/>
          <w:szCs w:val="24"/>
        </w:rPr>
        <w:t xml:space="preserve">, (2009) 5 SCC 791 [VERIFY], under analogous excise provisions. Some High Courts have, however, in exceptional cases entertained writ petitions or condoned delay where the order was not properly served or where strong equities existed; that relief lies in the writ jurisdiction of the High Court, not with the Appellate Authority. [VERIFY for the current jurisdictional position]</w:t>
      </w:r>
    </w:p>
    <w:p>
      <w:pPr>
        <w:pStyle w:val="Heading1"/>
        <w:spacing w:after="160" w:before="260"/>
      </w:pPr>
      <w:r>
        <w:rPr>
          <w:rFonts w:ascii="Times New Roman" w:cs="Times New Roman" w:eastAsia="Times New Roman" w:hAnsi="Times New Roman"/>
          <w:b/>
          <w:bCs/>
          <w:caps/>
          <w:sz w:val="26"/>
          <w:szCs w:val="26"/>
        </w:rPr>
        <w:t xml:space="preserve">3. The Supreme Court’s extension of limitation during the COVID-19 pandemic</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computation of the above periods, as on 11 January 2022, was affected by the orders of the Hon’ble Supreme Court in the suo motu limitation proceedings, </w:t>
      </w:r>
      <w:r>
        <w:rPr>
          <w:rFonts w:ascii="Times New Roman" w:cs="Times New Roman" w:eastAsia="Times New Roman" w:hAnsi="Times New Roman"/>
          <w:b w:val="false"/>
          <w:bCs w:val="false"/>
          <w:i/>
          <w:iCs/>
          <w:caps w:val="false"/>
          <w:sz w:val="24"/>
          <w:szCs w:val="24"/>
        </w:rPr>
        <w:t xml:space="preserve">In Re: Cognizance for Extension of Limitation</w:t>
      </w:r>
      <w:r>
        <w:rPr>
          <w:rFonts w:ascii="Times New Roman" w:cs="Times New Roman" w:eastAsia="Times New Roman" w:hAnsi="Times New Roman"/>
          <w:b w:val="false"/>
          <w:bCs w:val="false"/>
          <w:i w:val="false"/>
          <w:iCs w:val="false"/>
          <w:caps w:val="false"/>
          <w:sz w:val="24"/>
          <w:szCs w:val="24"/>
        </w:rPr>
        <w:t xml:space="preserve">, Suo Motu Writ Petition (Civil) No. 3 of 2020 [VERIFY]. The Court initially, by order dated 23.03.2020, extended all periods of limitation with effect from 15.03.2020; this was reiterated and elaborated by the order dated 08.03.2021, restored by the order dated 27.04.2021, and finally dealt with by the order dated 10.01.2022.</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the order dated 10.01.2022, the Court directed (in substance) that:</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period from 15.03.2020 to 28.02.2022 shall stand excluded in computing the period of limitation for any suit, appeal, application or proceeding;</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consequently, the balance period of limitation remaining as on 03.10.2021, if any, shall become available with effect from 01.03.2022;</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where the balance period so remaining is less than 90 days, a period of 90 days from 01.03.2022 shall be available; and</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period of exclusion shall also apply to the period prescribed for condonation of delay (here, the one month under Section 107(4)). [VERIFY against the text of the order dated 10.01.2022]</w:t>
      </w:r>
    </w:p>
    <w:p>
      <w:pPr>
        <w:pStyle w:val="Heading1"/>
        <w:spacing w:after="160" w:before="260"/>
      </w:pPr>
      <w:r>
        <w:rPr>
          <w:rFonts w:ascii="Times New Roman" w:cs="Times New Roman" w:eastAsia="Times New Roman" w:hAnsi="Times New Roman"/>
          <w:b/>
          <w:bCs/>
          <w:caps/>
          <w:sz w:val="26"/>
          <w:szCs w:val="26"/>
        </w:rPr>
        <w:t xml:space="preserve">4. Application to a GST appeal as on 11 January 2022</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For any GST order whose three-month (or three-plus-one-month) period was running or expired during the window 15.03.2020 to 28.02.2022, the limitation to file the Section 107 appeal stands extended by operation of the order dated 10.01.2022: the period within that window is excluded, and a minimum of 90 days from 01.03.2022 is available. An appeal that would otherwise appear time-barred may therefore be in time once the Supreme Court’s exclusion is applied. The exact computation must be made order by order, identifying the date of communication, the period elapsed before 15.03.2020 (if any), and the balance available from 01.03.2022.</w:t>
      </w:r>
    </w:p>
    <w:p>
      <w:pPr>
        <w:pStyle w:val="Heading1"/>
        <w:spacing w:after="160" w:before="260"/>
      </w:pPr>
      <w:r>
        <w:rPr>
          <w:rFonts w:ascii="Times New Roman" w:cs="Times New Roman" w:eastAsia="Times New Roman" w:hAnsi="Times New Roman"/>
          <w:b/>
          <w:bCs/>
          <w:caps/>
          <w:sz w:val="26"/>
          <w:szCs w:val="26"/>
        </w:rPr>
        <w:t xml:space="preserve">5. Practical conclusion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As on 11 January 2022: (i) the ordinary limitation is three months under Section 107(1), extendable by one month under Section 107(4); (ii) delay beyond that is, before the Appellate Authority, generally not condonable, the remedy (if any) lying in the High Court’s writ jurisdiction; and (iii) for the pandemic period, the Supreme Court’s order dated 10.01.2022 excludes 15.03.2020 to 28.02.2022 and affords at least 90 days from 01.03.2022. Any appeal should be computed accordingly and, where feasible, filed at the earliest to avoid dispute. This note must be updated for filings after the pandemic-extension window, as the position has since changed.</w:t>
      </w:r>
    </w:p>
    <w:p>
      <w:pPr>
        <w:pStyle w:val="Heading1"/>
        <w:spacing w:after="160" w:before="260"/>
      </w:pPr>
      <w:r>
        <w:rPr>
          <w:rFonts w:ascii="Times New Roman" w:cs="Times New Roman" w:eastAsia="Times New Roman" w:hAnsi="Times New Roman"/>
          <w:b/>
          <w:bCs/>
          <w:caps/>
          <w:sz w:val="26"/>
          <w:szCs w:val="26"/>
        </w:rPr>
        <w:t xml:space="preserve">Authorities and Provisions Referred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107(1) and 107(4) of the CGST Act, 2017; Section 5 of the Limitation Act, 1963.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 Re: Cognizance for Extension of Limitation, Supreme Court, Suo Motu Writ Petition (Civil) No. 3 of 2020 (orders dated 23.03.2020, 08.03.2021, 27.04.2021, 23.09.2021 and 10.01.2022).</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Singh Enterprises v. CCE, (2008) 3 SCC 70; Commissioner of Customs and Central Excise v. Hongo India (P) Ltd., (2009) 5 SCC 791. [VERIFY]</w:t>
      </w:r>
    </w:p>
    <w:p>
      <w:pPr>
        <w:spacing w:after="160" w:before="120" w:line="276"/>
        <w:jc w:val="both"/>
      </w:pPr>
      <w:r>
        <w:rPr>
          <w:rFonts w:ascii="Times New Roman" w:cs="Times New Roman" w:eastAsia="Times New Roman" w:hAnsi="Times New Roman"/>
          <w:b w:val="false"/>
          <w:bCs w:val="false"/>
          <w:i/>
          <w:iCs/>
          <w:caps w:val="false"/>
          <w:sz w:val="24"/>
          <w:szCs w:val="24"/>
        </w:rPr>
        <w:t xml:space="preserve">Prepared as an internal advisory note. Counsel should verify each authority and the exact text of the orders dated 23.09.2021 and 10.01.2022, and re-confirm the limitation position — including, for periods governed by the Section 168A extension notifications (Notification 9/2023-Central Tax dated 31.03.2023 and Notification 56/2023-Central Tax dated 28.12.2023), the split of High Court authority on Notification 56/2023 and the outcome of the Supreme Court matter in HCC-SEW-MEIL-AAG JV (SLP(C) No. 4240 of 2025), pending as on June 2026 — as applicable to the specific order and the date of the proposed appeal.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080" w:hanging="42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2026-06-13T08:26:22.603Z</dcterms:created>
  <dcterms:modified xsi:type="dcterms:W3CDTF">2026-06-13T08:26:22.603Z</dcterms:modified>
</cp:coreProperties>
</file>

<file path=docProps/custom.xml><?xml version="1.0" encoding="utf-8"?>
<Properties xmlns="http://schemas.openxmlformats.org/officeDocument/2006/custom-properties" xmlns:vt="http://schemas.openxmlformats.org/officeDocument/2006/docPropsVTypes"/>
</file>