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proposing interest under Section 50 (and penalty) on input tax credit alleged to have been wrongly availed but not utilised, of Rs. 123456789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notification and press release is marked [VERIFY] for a final reporter / instrument check before filing. The figure of Rs. 123456789, the interest charge under Section 50 and the penalty proposal are reproduced from the Impugned SCN as recited in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proposes interest under Section 50 (and penalty) on the premise that input tax credit of Rs. 123456789 was wrongly availed. The charge is unsustainable for one short and decisive reason: the credit was </w:t>
      </w:r>
      <w:r>
        <w:rPr>
          <w:rFonts w:ascii="Times New Roman" w:cs="Times New Roman" w:eastAsia="Times New Roman" w:hAnsi="Times New Roman"/>
          <w:b/>
          <w:bCs/>
          <w:i w:val="false"/>
          <w:iCs w:val="false"/>
          <w:caps w:val="false"/>
          <w:sz w:val="24"/>
          <w:szCs w:val="24"/>
        </w:rPr>
        <w:t xml:space="preserve">availed but never utilised</w:t>
      </w:r>
      <w:r>
        <w:rPr>
          <w:rFonts w:ascii="Times New Roman" w:cs="Times New Roman" w:eastAsia="Times New Roman" w:hAnsi="Times New Roman"/>
          <w:b w:val="false"/>
          <w:bCs w:val="false"/>
          <w:i w:val="false"/>
          <w:iCs w:val="false"/>
          <w:caps w:val="false"/>
          <w:sz w:val="24"/>
          <w:szCs w:val="24"/>
        </w:rPr>
        <w:t xml:space="preserve">. As Annexure 1 establishes, the balance in the Company’s Electronic Credit Ledger exceeded the disputed amount month on month throughout the period. Under Section 50(3) of the CGST Act, as substituted with retrospective effect from 1 July 2017, and Rule 88B(3) of the CGST Rules, interest on wrongly availed credit is chargeable only where the credit has been </w:t>
      </w:r>
      <w:r>
        <w:rPr>
          <w:rFonts w:ascii="Times New Roman" w:cs="Times New Roman" w:eastAsia="Times New Roman" w:hAnsi="Times New Roman"/>
          <w:b/>
          <w:bCs/>
          <w:i w:val="false"/>
          <w:iCs w:val="false"/>
          <w:caps w:val="false"/>
          <w:sz w:val="24"/>
          <w:szCs w:val="24"/>
        </w:rPr>
        <w:t xml:space="preserve">availed and utilised</w:t>
      </w:r>
      <w:r>
        <w:rPr>
          <w:rFonts w:ascii="Times New Roman" w:cs="Times New Roman" w:eastAsia="Times New Roman" w:hAnsi="Times New Roman"/>
          <w:b w:val="false"/>
          <w:bCs w:val="false"/>
          <w:i w:val="false"/>
          <w:iCs w:val="false"/>
          <w:caps w:val="false"/>
          <w:sz w:val="24"/>
          <w:szCs w:val="24"/>
        </w:rPr>
        <w:t xml:space="preserve">, and runs only from the date of utilisation. Mere availment attracts no interest, and no penalty can attach to a dormant, fully disclosed credit that caused no loss to the exchequer. The invocation of Section 74, to the extent made, fails for want of the jurisdictional fact of fraud, wilful misstatement or suppression.</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is a registered person under Section 2(94) of the Act, which has filed its returns and discharged its tax in the ordinary course.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credit in issue. </w:t>
      </w:r>
      <w:r>
        <w:rPr>
          <w:rFonts w:ascii="Times New Roman" w:cs="Times New Roman" w:eastAsia="Times New Roman" w:hAnsi="Times New Roman"/>
          <w:b w:val="false"/>
          <w:bCs w:val="false"/>
          <w:i w:val="false"/>
          <w:iCs w:val="false"/>
          <w:caps w:val="false"/>
          <w:sz w:val="24"/>
          <w:szCs w:val="24"/>
        </w:rPr>
        <w:t xml:space="preserve">During the tax period [____], the Company availed input tax credit of Rs. 123456789 in Form GSTR-3B; the credit was carried in its Electronic Credit Ledger.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Availed but not utilised. </w:t>
      </w:r>
      <w:r>
        <w:rPr>
          <w:rFonts w:ascii="Times New Roman" w:cs="Times New Roman" w:eastAsia="Times New Roman" w:hAnsi="Times New Roman"/>
          <w:b w:val="false"/>
          <w:bCs w:val="false"/>
          <w:i w:val="false"/>
          <w:iCs w:val="false"/>
          <w:caps w:val="false"/>
          <w:sz w:val="24"/>
          <w:szCs w:val="24"/>
        </w:rPr>
        <w:t xml:space="preserve">The credit was never utilised against any output tax liability. As Annexure 1 shows, the closing balance in the Electronic Credit Ledger, computed month on month, exceeded the disputed credit throughout the period; the disputed credit remained an unutilised balance.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No loss to the exchequer. </w:t>
      </w:r>
      <w:r>
        <w:rPr>
          <w:rFonts w:ascii="Times New Roman" w:cs="Times New Roman" w:eastAsia="Times New Roman" w:hAnsi="Times New Roman"/>
          <w:b w:val="false"/>
          <w:bCs w:val="false"/>
          <w:i w:val="false"/>
          <w:iCs w:val="false"/>
          <w:caps w:val="false"/>
          <w:sz w:val="24"/>
          <w:szCs w:val="24"/>
        </w:rPr>
        <w:t xml:space="preserve">As the credit was never utilised, no output tax payable in cash was discharged out of it; the Government was deprived of no tax due and payable.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ITC availed in GSTR-3B and reflected in the Electronic Credit Ledger</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GSTR-3B; Electronic Credit Ledger; Annexure 1</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Inquiry initiated (scrutiny / audit / intimation)</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ASMT-10 / ADT-01 / DRC-01A, as applicable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proposing interest under Section 50 (and penalty)</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Letter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 with Annexure 1</w:t>
            </w:r>
          </w:p>
        </w:tc>
      </w:tr>
    </w:tbl>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Reservation. </w:t>
      </w:r>
      <w:r>
        <w:rPr>
          <w:rFonts w:ascii="Times New Roman" w:cs="Times New Roman" w:eastAsia="Times New Roman" w:hAnsi="Times New Roman"/>
          <w:b w:val="false"/>
          <w:bCs w:val="false"/>
          <w:i w:val="false"/>
          <w:iCs w:val="false"/>
          <w:caps w:val="false"/>
          <w:sz w:val="24"/>
          <w:szCs w:val="24"/>
        </w:rPr>
        <w:t xml:space="preserve">The facts are stated from the record; the Company reserves the right to supplement them and to make oral submissions at the hearing.</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to require that the interest (and any penalty) be dropped. The Company DENIES that any interest or penalty is exigible.</w:t>
      </w:r>
    </w:p>
    <w:p>
      <w:pPr>
        <w:pStyle w:val="Heading2"/>
        <w:spacing w:after="140" w:before="200"/>
      </w:pPr>
      <w:r>
        <w:rPr>
          <w:rFonts w:ascii="Times New Roman" w:cs="Times New Roman" w:eastAsia="Times New Roman" w:hAnsi="Times New Roman"/>
          <w:b/>
          <w:bCs/>
          <w:sz w:val="24"/>
          <w:szCs w:val="24"/>
        </w:rPr>
        <w:t xml:space="preserve">Ground 1: Interest under Section 50(3) is chargeable only on credit availed AND utilised; mere availment attracts none</w:t>
      </w:r>
    </w:p>
    <w:p>
      <w:pPr>
        <w:spacing w:after="160" w:line="276"/>
        <w:jc w:val="both"/>
      </w:pPr>
      <w:r>
        <w:rPr>
          <w:rFonts w:ascii="Times New Roman" w:cs="Times New Roman" w:eastAsia="Times New Roman" w:hAnsi="Times New Roman"/>
          <w:b/>
          <w:bCs/>
          <w:sz w:val="24"/>
          <w:szCs w:val="24"/>
        </w:rPr>
        <w:t xml:space="preserve">(a) The allegation.</w:t>
      </w:r>
      <w:r>
        <w:rPr>
          <w:rFonts w:ascii="Times New Roman" w:cs="Times New Roman" w:eastAsia="Times New Roman" w:hAnsi="Times New Roman"/>
          <w:sz w:val="24"/>
          <w:szCs w:val="24"/>
        </w:rPr>
        <w:t xml:space="preserve"> The Impugned SCN proposes interest under Section 50 on credit said to be wrongly availed.</w:t>
      </w:r>
    </w:p>
    <w:p>
      <w:pPr>
        <w:spacing w:after="160" w:line="276"/>
        <w:jc w:val="both"/>
      </w:pPr>
      <w:r>
        <w:rPr>
          <w:rFonts w:ascii="Times New Roman" w:cs="Times New Roman" w:eastAsia="Times New Roman" w:hAnsi="Times New Roman"/>
          <w:b/>
          <w:bCs/>
          <w:sz w:val="24"/>
          <w:szCs w:val="24"/>
        </w:rPr>
        <w:t xml:space="preserve">(b) The governing law — the statute itself confines interest to utilised credit.</w:t>
      </w:r>
      <w:r>
        <w:rPr>
          <w:rFonts w:ascii="Times New Roman" w:cs="Times New Roman" w:eastAsia="Times New Roman" w:hAnsi="Times New Roman"/>
          <w:sz w:val="24"/>
          <w:szCs w:val="24"/>
        </w:rPr>
        <w:t xml:space="preserve"> Section 50(3) of the CGST Act was substituted, and deemed to have been substituted with effect from 1 July 2017, by Section 111 of the Finance Act, 2022, the substitution being brought into force by Notification No. 09/2022-Central Tax dated 5 July 2022 [VERIFY]. The substituted Section 50(3) reads:</w:t>
      </w:r>
    </w:p>
    <w:p>
      <w:pPr>
        <w:spacing w:after="140" w:line="264"/>
        <w:ind w:left="720" w:right="360"/>
        <w:jc w:val="both"/>
      </w:pPr>
      <w:r>
        <w:rPr>
          <w:rFonts w:ascii="Times New Roman" w:cs="Times New Roman" w:eastAsia="Times New Roman" w:hAnsi="Times New Roman"/>
          <w:i/>
          <w:iCs/>
          <w:sz w:val="22"/>
          <w:szCs w:val="22"/>
        </w:rPr>
        <w:t xml:space="preserve">(3) Where the input tax credit has been wrongly availed and utilised, the registered person shall pay interest on such input tax credit wrongly availed and utilised, at such rate not exceeding twenty-four per cent. as may be notified by the Government, on the recommendations of the Council, and the interest shall be calculated, in such manner as may be prescribed.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manner of computation is prescribed by Rule 88B(3) of the CGST Rules, 2017, inserted by Notification No. 14/2022-Central Tax dated 5 July 2022 with retrospective effect from 1 July 2017 [VERIFY]. Rule 88B(3) provides that interest on wrongly availed and utilised credit runs from the date of utilisation until reversal or payment; and the Explanation deems credit to be “utilised” only when the balance in the Electronic Credit Ledger falls below the amount of the credit wrongly availed. The combined effect is that </w:t>
      </w:r>
      <w:r>
        <w:rPr>
          <w:rFonts w:ascii="Times New Roman" w:cs="Times New Roman" w:eastAsia="Times New Roman" w:hAnsi="Times New Roman"/>
          <w:b/>
          <w:bCs/>
          <w:i w:val="false"/>
          <w:iCs w:val="false"/>
          <w:caps w:val="false"/>
          <w:sz w:val="24"/>
          <w:szCs w:val="24"/>
        </w:rPr>
        <w:t xml:space="preserve">availment without utilisation does not attract interest at all</w:t>
      </w:r>
      <w:r>
        <w:rPr>
          <w:rFonts w:ascii="Times New Roman" w:cs="Times New Roman" w:eastAsia="Times New Roman" w:hAnsi="Times New Roman"/>
          <w:b w:val="false"/>
          <w:bCs w:val="false"/>
          <w:i w:val="false"/>
          <w:iCs w:val="false"/>
          <w:caps w:val="false"/>
          <w:sz w:val="24"/>
          <w:szCs w:val="24"/>
        </w:rPr>
        <w:t xml:space="preserve">, and that there can be no interest period where the ledger balance never fell below the disputed amount.</w:t>
      </w:r>
    </w:p>
    <w:p>
      <w:pPr>
        <w:spacing w:after="160" w:line="276"/>
        <w:jc w:val="both"/>
      </w:pPr>
      <w:r>
        <w:rPr>
          <w:rFonts w:ascii="Times New Roman" w:cs="Times New Roman" w:eastAsia="Times New Roman" w:hAnsi="Times New Roman"/>
          <w:b/>
          <w:bCs/>
          <w:sz w:val="24"/>
          <w:szCs w:val="24"/>
        </w:rPr>
        <w:t xml:space="preserve">(c) The Council’s recommendation.</w:t>
      </w:r>
      <w:r>
        <w:rPr>
          <w:rFonts w:ascii="Times New Roman" w:cs="Times New Roman" w:eastAsia="Times New Roman" w:hAnsi="Times New Roman"/>
          <w:sz w:val="24"/>
          <w:szCs w:val="24"/>
        </w:rPr>
        <w:t xml:space="preserve"> This codifies the recommendation of the GST Council at its 45th meeting on 17 September 2021 [VERIFY], that Section 50(3) be amended retrospectively from 1 July 2017 so that interest is paid only on ineligible ITC “availed and utilised” and not on ineligible ITC merely “availed.” The Department cannot levy interest on a basis the Council resolved against and Parliament then enacted against.</w:t>
      </w:r>
    </w:p>
    <w:p>
      <w:pPr>
        <w:spacing w:after="160" w:line="276"/>
        <w:jc w:val="both"/>
      </w:pPr>
      <w:r>
        <w:rPr>
          <w:rFonts w:ascii="Times New Roman" w:cs="Times New Roman" w:eastAsia="Times New Roman" w:hAnsi="Times New Roman"/>
          <w:b/>
          <w:bCs/>
          <w:sz w:val="24"/>
          <w:szCs w:val="24"/>
        </w:rPr>
        <w:t xml:space="preserve">(d) Clarification on the ledger-balance test.</w:t>
      </w:r>
      <w:r>
        <w:rPr>
          <w:rFonts w:ascii="Times New Roman" w:cs="Times New Roman" w:eastAsia="Times New Roman" w:hAnsi="Times New Roman"/>
          <w:sz w:val="24"/>
          <w:szCs w:val="24"/>
        </w:rPr>
        <w:t xml:space="preserve"> The Board has itself clarified, by Circular No. 192/04/2023-GST dated 17 July 2023 [VERIFY], that in determining whether wrongly availed credit has been utilised, the balance in the Electronic Credit Ledger is to be taken as a whole; where the total credit balance never fell below the amount of the wrongly availed credit, the credit is treated as not utilised and no interest arises.</w:t>
      </w:r>
    </w:p>
    <w:p>
      <w:pPr>
        <w:spacing w:after="160" w:line="276"/>
        <w:jc w:val="both"/>
      </w:pPr>
      <w:r>
        <w:rPr>
          <w:rFonts w:ascii="Times New Roman" w:cs="Times New Roman" w:eastAsia="Times New Roman" w:hAnsi="Times New Roman"/>
          <w:b/>
          <w:bCs/>
          <w:sz w:val="24"/>
          <w:szCs w:val="24"/>
        </w:rPr>
        <w:t xml:space="preserve">(e) Application to the facts.</w:t>
      </w:r>
      <w:r>
        <w:rPr>
          <w:rFonts w:ascii="Times New Roman" w:cs="Times New Roman" w:eastAsia="Times New Roman" w:hAnsi="Times New Roman"/>
          <w:sz w:val="24"/>
          <w:szCs w:val="24"/>
        </w:rPr>
        <w:t xml:space="preserve"> Annexure 1 shows the Electronic Credit Ledger balance exceeding the disputed credit throughout. There is no utilised credit on which interest can run, and no date of utilisation from which any interest period could begin. The interest charge is without statutory foundation.</w:t>
      </w:r>
    </w:p>
    <w:p>
      <w:pPr>
        <w:spacing w:after="160" w:line="276"/>
        <w:jc w:val="both"/>
      </w:pPr>
      <w:r>
        <w:rPr>
          <w:rFonts w:ascii="Times New Roman" w:cs="Times New Roman" w:eastAsia="Times New Roman" w:hAnsi="Times New Roman"/>
          <w:b/>
          <w:bCs/>
          <w:sz w:val="24"/>
          <w:szCs w:val="24"/>
        </w:rPr>
        <w:t xml:space="preserve">(f) Relief sought.</w:t>
      </w:r>
      <w:r>
        <w:rPr>
          <w:rFonts w:ascii="Times New Roman" w:cs="Times New Roman" w:eastAsia="Times New Roman" w:hAnsi="Times New Roman"/>
          <w:sz w:val="24"/>
          <w:szCs w:val="24"/>
        </w:rPr>
        <w:t xml:space="preserve"> Hold that no interest is exigible on credit availed but not utilised, and drop the interest proposed under Section 50.</w:t>
      </w:r>
    </w:p>
    <w:p>
      <w:pPr>
        <w:pStyle w:val="Heading2"/>
        <w:spacing w:after="140" w:before="200"/>
      </w:pPr>
      <w:r>
        <w:rPr>
          <w:rFonts w:ascii="Times New Roman" w:cs="Times New Roman" w:eastAsia="Times New Roman" w:hAnsi="Times New Roman"/>
          <w:b/>
          <w:bCs/>
          <w:sz w:val="24"/>
          <w:szCs w:val="24"/>
        </w:rPr>
        <w:t xml:space="preserve">Ground 2: The settled judicial lineage confirms that interest does not attach to credit merely taken and not utilised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statutory position codifies a long-settled principle established under the predecessor regime, where the same question arose under Rule 14 of the CENVAT Credit Rules, 2004 (“taken and utilised”). Reliance is placed on </w:t>
      </w:r>
      <w:r>
        <w:rPr>
          <w:rFonts w:ascii="Times New Roman" w:cs="Times New Roman" w:eastAsia="Times New Roman" w:hAnsi="Times New Roman"/>
          <w:b w:val="false"/>
          <w:bCs w:val="false"/>
          <w:i/>
          <w:iCs/>
          <w:caps w:val="false"/>
          <w:sz w:val="24"/>
          <w:szCs w:val="24"/>
        </w:rPr>
        <w:t xml:space="preserve">CCE, LTU Bangalore v. Bill Forge Pvt. Ltd.</w:t>
      </w:r>
      <w:r>
        <w:rPr>
          <w:rFonts w:ascii="Times New Roman" w:cs="Times New Roman" w:eastAsia="Times New Roman" w:hAnsi="Times New Roman"/>
          <w:b w:val="false"/>
          <w:bCs w:val="false"/>
          <w:i w:val="false"/>
          <w:iCs w:val="false"/>
          <w:caps w:val="false"/>
          <w:sz w:val="24"/>
          <w:szCs w:val="24"/>
        </w:rPr>
        <w:t xml:space="preserve">, Karnataka High Court, 2011 (4) TMI 969 / (2012) 26 STR 204 [VERIFY], holding that where credit is wrongly availed but not utilised, “it is as if the credit was not availed,” so no interest arises; interest being compensatory, it attaches only where tax due is withheld, and an unutilised credit balance withholds nothing.</w:t>
      </w:r>
    </w:p>
    <w:p>
      <w:pPr>
        <w:spacing w:after="120" w:before="120"/>
        <w:jc w:val="both"/>
      </w:pPr>
      <w:r>
        <w:rPr>
          <w:rFonts w:ascii="Times New Roman" w:cs="Times New Roman" w:eastAsia="Times New Roman" w:hAnsi="Times New Roman"/>
          <w:b/>
          <w:bCs/>
          <w:i/>
          <w:iCs/>
          <w:sz w:val="20"/>
          <w:szCs w:val="20"/>
        </w:rPr>
        <w:t xml:space="preserve">Caution (for review): </w:t>
      </w:r>
      <w:r>
        <w:rPr>
          <w:rFonts w:ascii="Times New Roman" w:cs="Times New Roman" w:eastAsia="Times New Roman" w:hAnsi="Times New Roman"/>
          <w:i/>
          <w:iCs/>
          <w:sz w:val="20"/>
          <w:szCs w:val="20"/>
        </w:rPr>
        <w:t xml:space="preserve">Bill Forge has been followed by several benches but was disagreed with by the Chhattisgarh High Court in CCE &amp; C v. Vandana Vidyut Ltd., 2016 (331) ELT 231 (Chhattisgarh) [VERIFY] (interest arises on wrong availment independent of utilisation; that appeal is understood to be pending before the Supreme Court), and was treated as per incuriam by CESTAT Bangalore in Dr. Reddy’s Laboratories Ltd. v. CCE &amp; ST, Hyderabad [VERIFY]. The primary and safest authority today is the amended Section 50(3) read with Rule 88B(3), which statutorily codifies “availed AND utilised.” Bill Forge is therefore pleaded as supporting lineage, not as the load-bearing authority.</w:t>
      </w:r>
    </w:p>
    <w:p>
      <w:pPr>
        <w:pStyle w:val="Heading2"/>
        <w:spacing w:after="140" w:before="200"/>
      </w:pPr>
      <w:r>
        <w:rPr>
          <w:rFonts w:ascii="Times New Roman" w:cs="Times New Roman" w:eastAsia="Times New Roman" w:hAnsi="Times New Roman"/>
          <w:b/>
          <w:bCs/>
          <w:sz w:val="24"/>
          <w:szCs w:val="24"/>
        </w:rPr>
        <w:t xml:space="preserve">Ground 3: No penalty is sustainable; and Section 74, to the extent invoked, is without jurisdiction</w:t>
      </w:r>
    </w:p>
    <w:p>
      <w:pPr>
        <w:spacing w:after="160" w:line="276"/>
        <w:jc w:val="both"/>
      </w:pPr>
      <w:r>
        <w:rPr>
          <w:rFonts w:ascii="Times New Roman" w:cs="Times New Roman" w:eastAsia="Times New Roman" w:hAnsi="Times New Roman"/>
          <w:b/>
          <w:bCs/>
          <w:sz w:val="24"/>
          <w:szCs w:val="24"/>
        </w:rPr>
        <w:t xml:space="preserve">(a) Penalty cannot attach absent utilisation, loss or intent.</w:t>
      </w:r>
      <w:r>
        <w:rPr>
          <w:rFonts w:ascii="Times New Roman" w:cs="Times New Roman" w:eastAsia="Times New Roman" w:hAnsi="Times New Roman"/>
          <w:sz w:val="24"/>
          <w:szCs w:val="24"/>
        </w:rPr>
        <w:t xml:space="preserve"> The credit was disclosed in the return, visible on the portal, and never utilised; there was no loss and no intent to evade. Penalty in this setting is predicated on culpable conduct directed at evasion, which is wholly absent.</w:t>
      </w:r>
    </w:p>
    <w:p>
      <w:pPr>
        <w:spacing w:after="160" w:line="276"/>
        <w:jc w:val="both"/>
      </w:pPr>
      <w:r>
        <w:rPr>
          <w:rFonts w:ascii="Times New Roman" w:cs="Times New Roman" w:eastAsia="Times New Roman" w:hAnsi="Times New Roman"/>
          <w:b/>
          <w:bCs/>
          <w:sz w:val="24"/>
          <w:szCs w:val="24"/>
        </w:rPr>
        <w:t xml:space="preserve">(b) Section 74 fails for want of the jurisdictional fact.</w:t>
      </w:r>
      <w:r>
        <w:rPr>
          <w:rFonts w:ascii="Times New Roman" w:cs="Times New Roman" w:eastAsia="Times New Roman" w:hAnsi="Times New Roman"/>
          <w:sz w:val="24"/>
          <w:szCs w:val="24"/>
        </w:rPr>
        <w:t xml:space="preserve"> To the extent the proposal invokes Section 74, it is conditioned on fraud, wilful misstatement, or suppression of facts to evade tax — none of which is present or pleaded with particulars. A transparently disclosed, unutilised credit entry is the antithesis of evasion. The interest and penalty are, in any event, consequential upon the substantive allegation and must fall with it.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view of the foregoing, Annexure 1, and the authorities relied upon, 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credit of Rs. 123456789 was availed but not utilised, as established by Annexure 1, and that no loss was caused to the exchequer;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under Section 50(3) of the CGST Act (as substituted with retrospective effect from 1 July 2017) read with Rule 88B(3) of the CGST Rules, no interest is chargeable on credit availed but not utilised, and DROP the interest proposed under Section 50;</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Section 74, to the extent invoked, is without jurisdiction, and DROP any penalty as unsustainable and consequential;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the Company a personal hearing through its Authorised Representative before passing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equitable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to inspect and take copies of the relied-upon documents, to cross-examine,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spacing w:after="160" w:line="276"/>
        <w:jc w:val="both"/>
      </w:pPr>
      <w:r>
        <w:rPr>
          <w:rFonts w:ascii="Times New Roman" w:cs="Times New Roman" w:eastAsia="Times New Roman" w:hAnsi="Times New Roman"/>
          <w:b w:val="false"/>
          <w:bCs w:val="false"/>
          <w:i/>
          <w:iCs/>
          <w:caps w:val="false"/>
          <w:sz w:val="24"/>
          <w:szCs w:val="24"/>
        </w:rPr>
        <w:t xml:space="preserve">Case authorities, circulars and notifications are marked [VERIFY] for a final reporter / instrument check before filing.</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50(3) of the CGST Act, 2017 (as substituted by Section 111 of the Finance Act, 2022; brought into force by Notification No. 09/2022-Central Tax dated 05.07.2022; deemed effective 01.07.2017).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Rule 88B(3) of the CGST Rules, 2017 (inserted by Notification No. 14/2022-Central Tax dated 05.07.2022, w.r.e.f. 01.07.2017).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Recommendation of the GST Council, 45th meeting dated 17.09.2021.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192/04/2023-GST dated 17.07.2023 (ledger-balance test for utilisation).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CCE, LTU Bangalore v. Bill Forge Pvt. Ltd., Karnataka HC, 2011 (4) TMI 969 / (2012) 26 STR 204. [VERIFY] (supporting lineage; see caution above)</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 49, 50(1), 50(3), 73, 74 of the CGST Act, 2017; Rule 88B of the CGST Rules, 2017; provisions governing the Electronic Credit Ledger.</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Monthly closing balance in the Electronic Credit Ledger for the period [____], showing the balance exceeded Rs. 123456789 throughout.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SCN.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2026-06-13T08:28:08.655Z</dcterms:created>
  <dcterms:modified xsi:type="dcterms:W3CDTF">2026-06-13T08:28:08.655Z</dcterms:modified>
</cp:coreProperties>
</file>

<file path=docProps/custom.xml><?xml version="1.0" encoding="utf-8"?>
<Properties xmlns="http://schemas.openxmlformats.org/officeDocument/2006/custom-properties" xmlns:vt="http://schemas.openxmlformats.org/officeDocument/2006/docPropsVTypes"/>
</file>