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in Form GST DRC-01 under Section 74 read with Rule 142 alleging wrongful availment of input tax credit on alleged ‘fake’ / non-genuine invoices and proposing reversal of input tax credit with interest and penalty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and press release is marked [VERIFY] for a final check before filing. The allegations (non-existence of the supplier; the supplier’s alleged statement; reliance on a DGGI / Anti-Evasion report) and the figure of Rs. 100 (as recited) are reproduced from the Impugned SCN.</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denies the Company input tax credit availed on supplies received from M/s ABC Ltd (the “Supplier”), alleging that the Supplier did not exist at its principal place of business and is said to have admitted issuing invoices without supplying goods, the case resting on a report of the DGGI / Anti-Evasion wing and a third party’s statement. The Company is a </w:t>
      </w:r>
      <w:r>
        <w:rPr>
          <w:rFonts w:ascii="Times New Roman" w:cs="Times New Roman" w:eastAsia="Times New Roman" w:hAnsi="Times New Roman"/>
          <w:b/>
          <w:bCs/>
          <w:i w:val="false"/>
          <w:iCs w:val="false"/>
          <w:caps w:val="false"/>
          <w:sz w:val="24"/>
          <w:szCs w:val="24"/>
        </w:rPr>
        <w:t xml:space="preserve">bona fide recipient</w:t>
      </w:r>
      <w:r>
        <w:rPr>
          <w:rFonts w:ascii="Times New Roman" w:cs="Times New Roman" w:eastAsia="Times New Roman" w:hAnsi="Times New Roman"/>
          <w:b w:val="false"/>
          <w:bCs w:val="false"/>
          <w:i w:val="false"/>
          <w:iCs w:val="false"/>
          <w:caps w:val="false"/>
          <w:sz w:val="24"/>
          <w:szCs w:val="24"/>
        </w:rPr>
        <w:t xml:space="preserve"> that received the goods, holds valid tax invoices, and paid the Supplier including tax through banking channels. The SCN is unsustainable on several independent grounds: it is vague and non-specific; it rests on relied-upon documents and statements neither furnished to the Company nor tested by cross-examination, in breach of Section 75(4) and natural justice; it visits a supplier’s default on a bona fide recipient; recovery, if any, must first be made from the defaulting Supplier; and Section 74 is not attracted as against the Company, no fraud, wilful misstatement or suppression being present.</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carries on business in the ordinary course and in compliance with the Act.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transaction. </w:t>
      </w:r>
      <w:r>
        <w:rPr>
          <w:rFonts w:ascii="Times New Roman" w:cs="Times New Roman" w:eastAsia="Times New Roman" w:hAnsi="Times New Roman"/>
          <w:b w:val="false"/>
          <w:bCs w:val="false"/>
          <w:i w:val="false"/>
          <w:iCs w:val="false"/>
          <w:caps w:val="false"/>
          <w:sz w:val="24"/>
          <w:szCs w:val="24"/>
        </w:rPr>
        <w:t xml:space="preserve">The Company purchased goods from the Supplier under valid tax invoices, received the goods, and paid the Supplier the price together with tax through banking channels. The credit so availed (Rs. 100, as recited in the notice) is the credit now in dispute.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The Impugned SCN alleges that the Supplier was not found at its principal place of business and is said to have stated that it issued invoices without supplying goods; it relies on a DGGI / Anti-Evasion report and proposes reversal with interest under Section 50 and penalty under Section 122 / 74.</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Documents withheld. </w:t>
      </w:r>
      <w:r>
        <w:rPr>
          <w:rFonts w:ascii="Times New Roman" w:cs="Times New Roman" w:eastAsia="Times New Roman" w:hAnsi="Times New Roman"/>
          <w:b w:val="false"/>
          <w:bCs w:val="false"/>
          <w:i w:val="false"/>
          <w:iCs w:val="false"/>
          <w:caps w:val="false"/>
          <w:sz w:val="24"/>
          <w:szCs w:val="24"/>
        </w:rPr>
        <w:t xml:space="preserve">The relied-upon documents — the inspection / verification report, the statement attributed to the Supplier, and the DGGI / Anti-Evasion communication — have not been furnished, and no opportunity to cross-examine the makers of those statements has been afforded.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Goods purchased under tax invoice; payment through banking channel</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Tax invoices; bank statements; e-way bills / transport documents</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Inquiry / DGGI verification of the Supplier</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Inspection report; statement (not furnished)</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under Section 74 r/w Rule 142</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Letter No. [____] dated [____]</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Request for relied-upon documents and cross-examination</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Company’s letter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This reply filed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Present reply, with documentary annexures</w:t>
            </w:r>
          </w:p>
        </w:tc>
      </w:tr>
    </w:tbl>
    <w:p>
      <w:pPr>
        <w:spacing w:after="120" w:before="120"/>
        <w:jc w:val="both"/>
      </w:pPr>
      <w:r>
        <w:rPr>
          <w:rFonts w:ascii="Times New Roman" w:cs="Times New Roman" w:eastAsia="Times New Roman" w:hAnsi="Times New Roman"/>
          <w:b/>
          <w:bCs/>
          <w:i/>
          <w:iCs/>
          <w:sz w:val="20"/>
          <w:szCs w:val="20"/>
        </w:rPr>
        <w:t xml:space="preserve">Note on origin: </w:t>
      </w:r>
      <w:r>
        <w:rPr>
          <w:rFonts w:ascii="Times New Roman" w:cs="Times New Roman" w:eastAsia="Times New Roman" w:hAnsi="Times New Roman"/>
          <w:i/>
          <w:iCs/>
          <w:sz w:val="20"/>
          <w:szCs w:val="20"/>
        </w:rPr>
        <w:t xml:space="preserve">The source does not disclose whether the proceeding originated in scrutiny / audit or in DGGI / Anti-Evasion investigation. The chronology accommodates either entry point; the grounds do not depend on which applies.</w:t>
      </w:r>
    </w:p>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without reservation, DENIES that the transactions were not genuine, DENIES that the credit was wrongly availed, and DENIES that any interest or penalty is exigible.</w:t>
      </w:r>
    </w:p>
    <w:p>
      <w:pPr>
        <w:pStyle w:val="Heading2"/>
        <w:spacing w:after="140" w:before="200"/>
      </w:pPr>
      <w:r>
        <w:rPr>
          <w:rFonts w:ascii="Times New Roman" w:cs="Times New Roman" w:eastAsia="Times New Roman" w:hAnsi="Times New Roman"/>
          <w:b/>
          <w:bCs/>
          <w:sz w:val="24"/>
          <w:szCs w:val="24"/>
        </w:rPr>
        <w:t xml:space="preserve">Ground 1: Supply of the relied-upon documents is a condition precedent; their non-supply vitiates the proceeding — Section 75(4)</w:t>
      </w:r>
    </w:p>
    <w:p>
      <w:pPr>
        <w:spacing w:after="160" w:line="276"/>
        <w:jc w:val="both"/>
      </w:pPr>
      <w:r>
        <w:rPr>
          <w:rFonts w:ascii="Times New Roman" w:cs="Times New Roman" w:eastAsia="Times New Roman" w:hAnsi="Times New Roman"/>
          <w:b/>
          <w:bCs/>
          <w:sz w:val="24"/>
          <w:szCs w:val="24"/>
        </w:rPr>
        <w:t xml:space="preserve">(a) The defect.</w:t>
      </w:r>
      <w:r>
        <w:rPr>
          <w:rFonts w:ascii="Times New Roman" w:cs="Times New Roman" w:eastAsia="Times New Roman" w:hAnsi="Times New Roman"/>
          <w:sz w:val="24"/>
          <w:szCs w:val="24"/>
        </w:rPr>
        <w:t xml:space="preserve"> The SCN rests on an inspection / verification report, a statement attributed to the Supplier, and a DGGI / Anti-Evasion communication, none of which has been supplied to the Company. An adverse order cannot rest on material withheld from the person to be affected.</w:t>
      </w:r>
    </w:p>
    <w:p>
      <w:pPr>
        <w:spacing w:after="160" w:line="276"/>
        <w:jc w:val="both"/>
      </w:pPr>
      <w:r>
        <w:rPr>
          <w:rFonts w:ascii="Times New Roman" w:cs="Times New Roman" w:eastAsia="Times New Roman" w:hAnsi="Times New Roman"/>
          <w:b/>
          <w:bCs/>
          <w:sz w:val="24"/>
          <w:szCs w:val="24"/>
        </w:rPr>
        <w:t xml:space="preserve">(b) The law.</w:t>
      </w:r>
      <w:r>
        <w:rPr>
          <w:rFonts w:ascii="Times New Roman" w:cs="Times New Roman" w:eastAsia="Times New Roman" w:hAnsi="Times New Roman"/>
          <w:sz w:val="24"/>
          <w:szCs w:val="24"/>
        </w:rPr>
        <w:t xml:space="preserve"> Section 75(4) of the Act requires that an opportunity of hearing be granted where any adverse decision is contemplated, which necessarily includes access to the material relied upon. The Company has, by separate letter, called for copies of all relied-upon documents; until they are furnished the Company cannot meaningfully reply and the proceeding cannot lawfully advance.</w:t>
      </w:r>
    </w:p>
    <w:p>
      <w:pPr>
        <w:spacing w:after="160" w:line="276"/>
        <w:jc w:val="both"/>
      </w:pPr>
      <w:r>
        <w:rPr>
          <w:rFonts w:ascii="Times New Roman" w:cs="Times New Roman" w:eastAsia="Times New Roman" w:hAnsi="Times New Roman"/>
          <w:b/>
          <w:bCs/>
          <w:sz w:val="24"/>
          <w:szCs w:val="24"/>
        </w:rPr>
        <w:t xml:space="preserve">(c) Relief sought.</w:t>
      </w:r>
      <w:r>
        <w:rPr>
          <w:rFonts w:ascii="Times New Roman" w:cs="Times New Roman" w:eastAsia="Times New Roman" w:hAnsi="Times New Roman"/>
          <w:sz w:val="24"/>
          <w:szCs w:val="24"/>
        </w:rPr>
        <w:t xml:space="preserve"> Furnish all relied-upon documents and grant a fresh, adequate opportunity to reply; failing which, drop the SCN.</w:t>
      </w:r>
    </w:p>
    <w:p>
      <w:pPr>
        <w:pStyle w:val="Heading2"/>
        <w:spacing w:after="140" w:before="200"/>
      </w:pPr>
      <w:r>
        <w:rPr>
          <w:rFonts w:ascii="Times New Roman" w:cs="Times New Roman" w:eastAsia="Times New Roman" w:hAnsi="Times New Roman"/>
          <w:b/>
          <w:bCs/>
          <w:sz w:val="24"/>
          <w:szCs w:val="24"/>
        </w:rPr>
        <w:t xml:space="preserve">Ground 2: A third party’s statement has no evidentiary value without cross-examination — Andaman Timber</w:t>
      </w:r>
    </w:p>
    <w:p>
      <w:pPr>
        <w:spacing w:after="160" w:line="276"/>
        <w:jc w:val="both"/>
      </w:pPr>
      <w:r>
        <w:rPr>
          <w:rFonts w:ascii="Times New Roman" w:cs="Times New Roman" w:eastAsia="Times New Roman" w:hAnsi="Times New Roman"/>
          <w:b/>
          <w:bCs/>
          <w:sz w:val="24"/>
          <w:szCs w:val="24"/>
        </w:rPr>
        <w:t xml:space="preserve">(a) The allegation.</w:t>
      </w:r>
      <w:r>
        <w:rPr>
          <w:rFonts w:ascii="Times New Roman" w:cs="Times New Roman" w:eastAsia="Times New Roman" w:hAnsi="Times New Roman"/>
          <w:sz w:val="24"/>
          <w:szCs w:val="24"/>
        </w:rPr>
        <w:t xml:space="preserve"> The case turns substantially on a statement attributed to the Supplier that it issued invoices without supplying goods.</w:t>
      </w:r>
    </w:p>
    <w:p>
      <w:pPr>
        <w:spacing w:after="160" w:line="276"/>
        <w:jc w:val="both"/>
      </w:pPr>
      <w:r>
        <w:rPr>
          <w:rFonts w:ascii="Times New Roman" w:cs="Times New Roman" w:eastAsia="Times New Roman" w:hAnsi="Times New Roman"/>
          <w:b/>
          <w:bCs/>
          <w:sz w:val="24"/>
          <w:szCs w:val="24"/>
        </w:rPr>
        <w:t xml:space="preserve">(b) The law.</w:t>
      </w:r>
      <w:r>
        <w:rPr>
          <w:rFonts w:ascii="Times New Roman" w:cs="Times New Roman" w:eastAsia="Times New Roman" w:hAnsi="Times New Roman"/>
          <w:sz w:val="24"/>
          <w:szCs w:val="24"/>
        </w:rPr>
        <w:t xml:space="preserve"> A statement recorded behind the back of the Company, not tested in cross-examination, has no evidentiary value against it. Reliance is placed on </w:t>
      </w:r>
    </w:p>
    <w:p>
      <w:pPr>
        <w:spacing w:after="160" w:line="276"/>
        <w:jc w:val="both"/>
      </w:pPr>
      <w:r>
        <w:rPr>
          <w:rFonts w:ascii="Times New Roman" w:cs="Times New Roman" w:eastAsia="Times New Roman" w:hAnsi="Times New Roman"/>
          <w:b/>
          <w:bCs/>
          <w:sz w:val="24"/>
          <w:szCs w:val="24"/>
        </w:rPr>
        <w:t xml:space="preserve">(c) Relief sought.</w:t>
      </w:r>
      <w:r>
        <w:rPr>
          <w:rFonts w:ascii="Times New Roman" w:cs="Times New Roman" w:eastAsia="Times New Roman" w:hAnsi="Times New Roman"/>
          <w:sz w:val="24"/>
          <w:szCs w:val="24"/>
        </w:rPr>
        <w:t xml:space="preserve"> Discard the untested statement; in the alternative, permit cross-examination before any reliance is placed on it.</w:t>
      </w:r>
    </w:p>
    <w:p>
      <w:pPr>
        <w:pStyle w:val="Heading2"/>
        <w:spacing w:after="140" w:before="200"/>
      </w:pPr>
      <w:r>
        <w:rPr>
          <w:rFonts w:ascii="Times New Roman" w:cs="Times New Roman" w:eastAsia="Times New Roman" w:hAnsi="Times New Roman"/>
          <w:b/>
          <w:bCs/>
          <w:sz w:val="24"/>
          <w:szCs w:val="24"/>
        </w:rPr>
        <w:t xml:space="preserve">Ground 3: A bona fide recipient who satisfies Section 16(2) cannot be denied credit for the supplier’s default</w:t>
      </w:r>
    </w:p>
    <w:p>
      <w:pPr>
        <w:spacing w:after="160" w:line="276"/>
        <w:jc w:val="both"/>
      </w:pPr>
      <w:r>
        <w:rPr>
          <w:rFonts w:ascii="Times New Roman" w:cs="Times New Roman" w:eastAsia="Times New Roman" w:hAnsi="Times New Roman"/>
          <w:b/>
          <w:bCs/>
          <w:sz w:val="24"/>
          <w:szCs w:val="24"/>
        </w:rPr>
        <w:t xml:space="preserve">(a) The principle.</w:t>
      </w:r>
      <w:r>
        <w:rPr>
          <w:rFonts w:ascii="Times New Roman" w:cs="Times New Roman" w:eastAsia="Times New Roman" w:hAnsi="Times New Roman"/>
          <w:sz w:val="24"/>
          <w:szCs w:val="24"/>
        </w:rPr>
        <w:t xml:space="preserve"> Where the recipient holds a valid tax invoice, has received the goods, has paid the supplier including tax, and the supplier was a registered person at the time of the transaction, the recipient is a bona fide purchaser entitled to credit. Subsequent discovery of the supplier’s non-existence or default does not, without evidence of the recipient’s complicity, defeat the recipient’s credit.</w:t>
      </w:r>
    </w:p>
    <w:p>
      <w:pPr>
        <w:spacing w:after="160" w:line="276"/>
        <w:jc w:val="both"/>
      </w:pPr>
      <w:r>
        <w:rPr>
          <w:rFonts w:ascii="Times New Roman" w:cs="Times New Roman" w:eastAsia="Times New Roman" w:hAnsi="Times New Roman"/>
          <w:b/>
          <w:bCs/>
          <w:sz w:val="24"/>
          <w:szCs w:val="24"/>
        </w:rPr>
        <w:t xml:space="preserve">(b) The authorities.</w:t>
      </w:r>
      <w:r>
        <w:rPr>
          <w:rFonts w:ascii="Times New Roman" w:cs="Times New Roman" w:eastAsia="Times New Roman" w:hAnsi="Times New Roman"/>
          <w:sz w:val="24"/>
          <w:szCs w:val="24"/>
        </w:rPr>
        <w:t xml:space="preserve"> Reliance is placed on the consistent line of High Court authority protecting the bona fide recipient: </w:t>
      </w:r>
    </w:p>
    <w:p>
      <w:pPr>
        <w:spacing w:after="160" w:line="276"/>
        <w:jc w:val="both"/>
      </w:pPr>
      <w:r>
        <w:rPr>
          <w:rFonts w:ascii="Times New Roman" w:cs="Times New Roman" w:eastAsia="Times New Roman" w:hAnsi="Times New Roman"/>
          <w:b/>
          <w:bCs/>
          <w:sz w:val="24"/>
          <w:szCs w:val="24"/>
        </w:rPr>
        <w:t xml:space="preserve">(c) Adverse authority, addressed.</w:t>
      </w:r>
      <w:r>
        <w:rPr>
          <w:rFonts w:ascii="Times New Roman" w:cs="Times New Roman" w:eastAsia="Times New Roman" w:hAnsi="Times New Roman"/>
          <w:sz w:val="24"/>
          <w:szCs w:val="24"/>
        </w:rPr>
        <w:t xml:space="preserve"> The contrary line — </w:t>
      </w:r>
    </w:p>
    <w:p>
      <w:pPr>
        <w:spacing w:after="160" w:line="276"/>
        <w:jc w:val="both"/>
      </w:pPr>
      <w:r>
        <w:rPr>
          <w:rFonts w:ascii="Times New Roman" w:cs="Times New Roman" w:eastAsia="Times New Roman" w:hAnsi="Times New Roman"/>
          <w:b/>
          <w:bCs/>
          <w:sz w:val="24"/>
          <w:szCs w:val="24"/>
        </w:rPr>
        <w:t xml:space="preserve">(d) Application and relief.</w:t>
      </w:r>
      <w:r>
        <w:rPr>
          <w:rFonts w:ascii="Times New Roman" w:cs="Times New Roman" w:eastAsia="Times New Roman" w:hAnsi="Times New Roman"/>
          <w:sz w:val="24"/>
          <w:szCs w:val="24"/>
        </w:rPr>
        <w:t xml:space="preserve"> Every fact attracting protection is present. Hold the Company a bona fide recipient and uphold the credit.</w:t>
      </w:r>
    </w:p>
    <w:p>
      <w:pPr>
        <w:pStyle w:val="Heading2"/>
        <w:spacing w:after="140" w:before="200"/>
      </w:pPr>
      <w:r>
        <w:rPr>
          <w:rFonts w:ascii="Times New Roman" w:cs="Times New Roman" w:eastAsia="Times New Roman" w:hAnsi="Times New Roman"/>
          <w:b/>
          <w:bCs/>
          <w:sz w:val="24"/>
          <w:szCs w:val="24"/>
        </w:rPr>
        <w:t xml:space="preserve">Ground 4: Recovery, if any, must first be made from the defaulting supplier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assuming tax remained unpaid at the Supplier’s end (which is denied), the scheme of the Act does not permit the Department to bypass the defaulting Supplier and proceed against a paying recipient. The administrative position was recorded in the Press Release of 4 May 2018 (27th GST Council meeting) [VERIFY] — recovery from the seller on default, with reversal from the buyer reserved for exceptional situations. The Company has paid its Supplier; the Department’s remedy lies against the Supplier.</w:t>
      </w:r>
    </w:p>
    <w:p>
      <w:pPr>
        <w:pStyle w:val="Heading2"/>
        <w:spacing w:after="140" w:before="200"/>
      </w:pPr>
      <w:r>
        <w:rPr>
          <w:rFonts w:ascii="Times New Roman" w:cs="Times New Roman" w:eastAsia="Times New Roman" w:hAnsi="Times New Roman"/>
          <w:b/>
          <w:bCs/>
          <w:sz w:val="24"/>
          <w:szCs w:val="24"/>
        </w:rPr>
        <w:t xml:space="preserve">Ground 5: The invocation of Section 74 is without jurisdiction — no fraud, wilful misstatement or suppression by the Company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74 is conditioned on fraud, wilful misstatement, or suppression of facts to evade tax </w:t>
      </w:r>
      <w:r>
        <w:rPr>
          <w:rFonts w:ascii="Times New Roman" w:cs="Times New Roman" w:eastAsia="Times New Roman" w:hAnsi="Times New Roman"/>
          <w:b/>
          <w:bCs/>
          <w:i w:val="false"/>
          <w:iCs w:val="false"/>
          <w:caps w:val="false"/>
          <w:sz w:val="24"/>
          <w:szCs w:val="24"/>
        </w:rPr>
        <w:t xml:space="preserve">on the part of the Company</w:t>
      </w:r>
      <w:r>
        <w:rPr>
          <w:rFonts w:ascii="Times New Roman" w:cs="Times New Roman" w:eastAsia="Times New Roman" w:hAnsi="Times New Roman"/>
          <w:b w:val="false"/>
          <w:bCs w:val="false"/>
          <w:i w:val="false"/>
          <w:iCs w:val="false"/>
          <w:caps w:val="false"/>
          <w:sz w:val="24"/>
          <w:szCs w:val="24"/>
        </w:rPr>
        <w:t xml:space="preserve">. The Company disclosed the credit in its return, transacted through banking channels, and holds the supporting documents. No mental element directed at evasion is pleaded against the Company, and none can be inferred from a supplier’s alleged conduct. The notice under Section 74 is therefore without jurisdiction as against the Company, and the elevated penalty and extended period are unavailable; at the highest the matter could fall under Section 73, which is denied.</w:t>
      </w:r>
    </w:p>
    <w:p>
      <w:pPr>
        <w:pStyle w:val="Heading2"/>
        <w:spacing w:after="140" w:before="200"/>
      </w:pPr>
      <w:r>
        <w:rPr>
          <w:rFonts w:ascii="Times New Roman" w:cs="Times New Roman" w:eastAsia="Times New Roman" w:hAnsi="Times New Roman"/>
          <w:b/>
          <w:bCs/>
          <w:sz w:val="24"/>
          <w:szCs w:val="24"/>
        </w:rPr>
        <w:t xml:space="preserve">Ground 6 (without prejudice): Interest and penalty are consequential and otherwise unsustainable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interest under Section 50 and penalty under Section 122 / 74 are consequential upon the substantive demand and fall with it. To the extent any credit was not utilised, no interest arises under Section 50(3) read with Rule 88B(3) [VERIFY]; and penalty cannot attach absent any intent to evade on the Company’s part.</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FURNISH all relied-upon documents — the verification / inspection report, the statement attributed to the Supplier, and the DGGI / Anti-Evasion communication — and grant a fresh opportunity to reply;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cross-examination of the makers of the statements and reports relied upon, and discard any statement not so tested;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the Company a bona fide recipient satisfying Section 16(2) and uphold the input tax credit;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recovery, if any, must first be made from the defaulting Supplier;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Section 74 is not attracted as against the Company, no fraud, wilful misstatement or suppression being present;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proposed reversal,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to inspect and take copies of the relied-upon documents, to cross-examine,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spacing w:after="160" w:line="276"/>
        <w:jc w:val="both"/>
      </w:pPr>
      <w:r>
        <w:rPr>
          <w:rFonts w:ascii="Times New Roman" w:cs="Times New Roman" w:eastAsia="Times New Roman" w:hAnsi="Times New Roman"/>
          <w:b w:val="false"/>
          <w:bCs w:val="false"/>
          <w:i/>
          <w:iCs/>
          <w:caps w:val="false"/>
          <w:sz w:val="24"/>
          <w:szCs w:val="24"/>
        </w:rPr>
        <w:t xml:space="preserve">Case authorities and press releases are marked [VERIFY] for a final check before filing.</w:t>
      </w:r>
    </w:p>
    <w:p>
      <w:pPr>
        <w:spacing w:after="160" w:line="276"/>
        <w:jc w:val="both"/>
      </w:pPr>
      <w:r>
        <w:rPr>
          <w:rFonts w:ascii="Times New Roman" w:cs="Times New Roman" w:eastAsia="Times New Roman" w:hAnsi="Times New Roman"/>
          <w:b/>
          <w:bCs/>
          <w:i w:val="false"/>
          <w:iCs w:val="false"/>
          <w:caps w:val="false"/>
          <w:sz w:val="24"/>
          <w:szCs w:val="24"/>
        </w:rPr>
        <w:t xml:space="preserve">A. Natural justice — relied-upon documents and cross-examination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75(4) of the CGST Act, 2017 (opportunity of hearing).</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Andaman Timber Industries v. CCE, Supreme Court, 2015 (324) ELT 641 (SC). [VERIFY]</w:t>
      </w:r>
    </w:p>
    <w:p>
      <w:pPr>
        <w:spacing w:after="160" w:line="276"/>
        <w:jc w:val="both"/>
      </w:pPr>
      <w:r>
        <w:rPr>
          <w:rFonts w:ascii="Times New Roman" w:cs="Times New Roman" w:eastAsia="Times New Roman" w:hAnsi="Times New Roman"/>
          <w:b/>
          <w:bCs/>
          <w:i w:val="false"/>
          <w:iCs w:val="false"/>
          <w:caps w:val="false"/>
          <w:sz w:val="24"/>
          <w:szCs w:val="24"/>
        </w:rPr>
        <w:t xml:space="preserve">B. Bona fide recipient / recovery from supplier first</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LGW Industries Ltd. v. Union of India, Calcutta HC, WPA 23512 of 2019, 13.12.2021.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Sanchita Kundu v. Assistant Commissioner of State Tax, Calcutta HC, WPA 7231 of 2022, 05.05.2022.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Gargo Traders v. Joint Commissioner, Commercial Taxes (State Tax), Calcutta HC, WPA 1009 of 2022, 12.06.2023.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D.Y. Beathel Enterprises v. State Tax Officer, Madras HC, W.P.(MD) Nos. 2127 of 2021 (batch), 24.02.2021.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Press Release dated 04.05.2018 (27th GST Council meeting). [VERIFY]</w:t>
      </w:r>
    </w:p>
    <w:p>
      <w:pPr>
        <w:spacing w:after="160" w:line="276"/>
        <w:jc w:val="both"/>
      </w:pPr>
      <w:r>
        <w:rPr>
          <w:rFonts w:ascii="Times New Roman" w:cs="Times New Roman" w:eastAsia="Times New Roman" w:hAnsi="Times New Roman"/>
          <w:b/>
          <w:bCs/>
          <w:i w:val="false"/>
          <w:iCs w:val="false"/>
          <w:caps w:val="false"/>
          <w:sz w:val="24"/>
          <w:szCs w:val="24"/>
        </w:rPr>
        <w:t xml:space="preserve">C. Adverse authority, distinguished</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State of Karnataka v. Ecom Gill Coffee Trading Pvt. Ltd., SC, Civil Appeal No. 230 of 2023, 13.03.2023; Aastha Enterprises v. State of Bihar, Patna HC, 18.08.2023. [VERIFY]</w:t>
      </w:r>
    </w:p>
    <w:p>
      <w:pPr>
        <w:spacing w:after="160" w:line="276"/>
        <w:jc w:val="both"/>
      </w:pPr>
      <w:r>
        <w:rPr>
          <w:rFonts w:ascii="Times New Roman" w:cs="Times New Roman" w:eastAsia="Times New Roman" w:hAnsi="Times New Roman"/>
          <w:b/>
          <w:bCs/>
          <w:i w:val="false"/>
          <w:iCs w:val="false"/>
          <w:caps w:val="false"/>
          <w:sz w:val="24"/>
          <w:szCs w:val="24"/>
        </w:rPr>
        <w:t xml:space="preserve">D. Statutory framework</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16(2)(a)–(d), 41, 50, 73, 74, 122, 155 of the CGST Act, 2017; Rules 36, 88B and 142 of the CGST Rules, 2017.</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Tax invoices of the Supplier for the disputed supplies.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Bank statements evidencing payment to the Supplier including tax.</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Transport / e-way bill documents evidencing movement and receipt of goods.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4 — Copy of the Impugned SCN and of the Company’s letter calling for relied-upon documents.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2026-06-13T08:28:08.831Z</dcterms:created>
  <dcterms:modified xsi:type="dcterms:W3CDTF">2026-06-13T08:28:08.831Z</dcterms:modified>
</cp:coreProperties>
</file>

<file path=docProps/custom.xml><?xml version="1.0" encoding="utf-8"?>
<Properties xmlns="http://schemas.openxmlformats.org/officeDocument/2006/custom-properties" xmlns:vt="http://schemas.openxmlformats.org/officeDocument/2006/docPropsVTypes"/>
</file>