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Show Cause Notice / intimation for non-filing of Form GSTR-3B for the period March 2020 to December 2020, the Company having filed Form GSTR-1 for the same period — Letter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Letter No. [____] dated [____] (the “Impugned SCN / intimation”).</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Circulars / instructions / notifications are marked [VERIFY] for a final check before filing. The period (March 2020 to December 2020) is reproduced from the notice. See Flag on signatory: the source describes a proprietorship (Proprietor Mr. ABC); the party name and execution are stated as Noticedesk Technologies Private Limited per the production standard — confirm at review (carry-forward proprietorship-to-company signatory flag).</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proceeding proceeds on the non-filing of Form GSTR-3B for March 2020 to December 2020, even though the Company filed Form GSTR-1 for the same period. The Company’s position is that the non-filing arose from a genuine inability to discharge the tax through the common portal, which does not permit GSTR-3B to be filed without simultaneous payment of the self-assessed tax. The Company has been in compliance from registration onwards and is willing to file the returns and discharge the admitted liability with applicable interest. Where recovery of the GSTR-1 liability is sought as ‘self-assessed tax’ under Section 75(12), the statute and the Board’s own instruction require a prior intimation and opportunity (now in Form GST DRC-01B under Rule 88C); any coercive action without that process is premature.</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has filed its returns from July 2017 onwards without default until the period in question (GSTR-1 at Exhibit A; GSTR-3B at Exhibit B).</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default and its cause. </w:t>
      </w:r>
      <w:r>
        <w:rPr>
          <w:rFonts w:ascii="Times New Roman" w:cs="Times New Roman" w:eastAsia="Times New Roman" w:hAnsi="Times New Roman"/>
          <w:b w:val="false"/>
          <w:bCs w:val="false"/>
          <w:i w:val="false"/>
          <w:iCs w:val="false"/>
          <w:caps w:val="false"/>
          <w:sz w:val="24"/>
          <w:szCs w:val="24"/>
        </w:rPr>
        <w:t xml:space="preserve">For March 2020 to December 2020, the Company filed GSTR-1 but could not file GSTR-3B. The common portal does not permit GSTR-3B to be submitted without payment of the self-assessed tax; the Company faced a genuine financial constraint during the period and was therefore unable to file.</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Readiness to regularise. </w:t>
      </w:r>
      <w:r>
        <w:rPr>
          <w:rFonts w:ascii="Times New Roman" w:cs="Times New Roman" w:eastAsia="Times New Roman" w:hAnsi="Times New Roman"/>
          <w:b w:val="false"/>
          <w:bCs w:val="false"/>
          <w:i w:val="false"/>
          <w:iCs w:val="false"/>
          <w:caps w:val="false"/>
          <w:sz w:val="24"/>
          <w:szCs w:val="24"/>
        </w:rPr>
        <w:t xml:space="preserve">The Company is ready and willing to file the outstanding GSTR-3B returns and to discharge the admitted tax with applicable interest, and seeks a reasonable opportunity to do so.</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Procedural chronology.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Date</w:t>
            </w:r>
          </w:p>
        </w:tc>
        <w:tc>
          <w:tcPr>
            <w:tcW w:type="dxa" w:w="3200"/>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Event / Stage</w:t>
            </w:r>
          </w:p>
        </w:tc>
        <w:tc>
          <w:tcPr>
            <w:tcW w:type="dxa" w:w="4326"/>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Document / Reference</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Jul 2017 onwards</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Returns filed without default</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GSTR-1 (Exhibit A); GSTR-3B (Exhibit B)</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Mar–Dec 2020</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GSTR-1 filed; GSTR-3B not filed</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GSTR-1 acknowledgements</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Impugned SCN / intimation for non-filing of GSTR-3B</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Impugned SCN, Letter No. [____] dated [____]</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This reply filed</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Present reply</w:t>
            </w:r>
          </w:p>
        </w:tc>
      </w:tr>
    </w:tbl>
    <w:p>
      <w:pPr>
        <w:pStyle w:val="Heading1"/>
        <w:spacing w:after="160" w:before="260"/>
      </w:pPr>
      <w:r>
        <w:rPr>
          <w:rFonts w:ascii="Times New Roman" w:cs="Times New Roman" w:eastAsia="Times New Roman" w:hAnsi="Times New Roman"/>
          <w:b/>
          <w:bCs/>
          <w:caps/>
          <w:sz w:val="26"/>
          <w:szCs w:val="26"/>
        </w:rPr>
        <w:t xml:space="preserve">Grounds / Submissions</w:t>
      </w:r>
    </w:p>
    <w:p>
      <w:pPr>
        <w:pStyle w:val="Heading2"/>
        <w:spacing w:after="140" w:before="200"/>
      </w:pPr>
      <w:r>
        <w:rPr>
          <w:rFonts w:ascii="Times New Roman" w:cs="Times New Roman" w:eastAsia="Times New Roman" w:hAnsi="Times New Roman"/>
          <w:b/>
          <w:bCs/>
          <w:sz w:val="24"/>
          <w:szCs w:val="24"/>
        </w:rPr>
        <w:t xml:space="preserve">Ground 1: The default is procedural and attributable to the portal’s design; the Company has always been compliant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Under Section 37 the registered person furnishes outward details in GSTR-1, and under Section 39 pays tax through GSTR-3B; nothing in Section 39 requires payment exactly equal to the GSTR-1 liability, yet the common portal does not permit GSTR-3B to be filed at all without payment of the self-assessed tax. The Company’s inability to pay during a constrained period therefore translated, by the portal’s design, into an inability to file. The default is procedural, not an attempt to evade, and must be viewed in the context of an otherwise unbroken compliance record.</w:t>
      </w:r>
    </w:p>
    <w:p>
      <w:pPr>
        <w:pStyle w:val="Heading2"/>
        <w:spacing w:after="140" w:before="200"/>
      </w:pPr>
      <w:r>
        <w:rPr>
          <w:rFonts w:ascii="Times New Roman" w:cs="Times New Roman" w:eastAsia="Times New Roman" w:hAnsi="Times New Roman"/>
          <w:b/>
          <w:bCs/>
          <w:sz w:val="24"/>
          <w:szCs w:val="24"/>
        </w:rPr>
        <w:t xml:space="preserve">Ground 2: Recovery of the GSTR-1 liability as ‘self-assessed tax’ under Section 75(12) requires the prescribed intimation and opportunity — Rule 88C / DRC-01B</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Where the Department seeks to recover, under Section 79, the tax declared in GSTR-1 but not paid in GSTR-3B as ‘self-assessed tax’ within the Explanation to Section 75(12) (inserted with effect from 1 January 2022), the statute and the Board’s own guidance require a prior opportunity. The Board’s Instruction No. 01/2022-GST dated 07.01.2022 [VERIFY] directs that before initiating recovery the proper officer must communicate with the registered person and afford a reasonable opportunity to explain the difference or pay; and Rule 88C, inserted by Notification No. 26/2022-Central Tax dated 26.12.2022 [VERIFY], requires an intimation in Form GST DRC-01B with an opportunity to pay or explain before any recovery. Coercive action without that process is premature and bad.</w:t>
      </w:r>
    </w:p>
    <w:p>
      <w:pPr>
        <w:pStyle w:val="Heading2"/>
        <w:spacing w:after="140" w:before="200"/>
      </w:pPr>
      <w:r>
        <w:rPr>
          <w:rFonts w:ascii="Times New Roman" w:cs="Times New Roman" w:eastAsia="Times New Roman" w:hAnsi="Times New Roman"/>
          <w:b/>
          <w:bCs/>
          <w:sz w:val="24"/>
          <w:szCs w:val="24"/>
        </w:rPr>
        <w:t xml:space="preserve">Ground 3: The Company is ready to regularise; coercive action is disproportionate</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Where the registered person is ready and willing to file the returns and pay the admitted tax with interest, the appropriate course is to permit regularisation, not to resort to coercive recovery or cancellation, which would be disproportionate and would defeat the remedial scheme of the Act. High Courts have read down the mechanical use of Section 75(12)/Section 79 where the liability is disputed or the prescribed intimation was not issued; reliance is placed on </w:t>
      </w:r>
      <w:r>
        <w:rPr>
          <w:rFonts w:ascii="Times New Roman" w:cs="Times New Roman" w:eastAsia="Times New Roman" w:hAnsi="Times New Roman"/>
          <w:b w:val="false"/>
          <w:bCs w:val="false"/>
          <w:i/>
          <w:iCs/>
          <w:caps w:val="false"/>
          <w:sz w:val="24"/>
          <w:szCs w:val="24"/>
        </w:rPr>
        <w:t xml:space="preserve">Kuddus Ali v. Assistant Commissioner of Central Tax</w:t>
      </w:r>
      <w:r>
        <w:rPr>
          <w:rFonts w:ascii="Times New Roman" w:cs="Times New Roman" w:eastAsia="Times New Roman" w:hAnsi="Times New Roman"/>
          <w:b w:val="false"/>
          <w:bCs w:val="false"/>
          <w:i w:val="false"/>
          <w:iCs w:val="false"/>
          <w:caps w:val="false"/>
          <w:sz w:val="24"/>
          <w:szCs w:val="24"/>
        </w:rPr>
        <w:t xml:space="preserve">, Calcutta HC [VERIFY], where recovery was quashed and the Department directed to proceed by adjudication with a hearing. The Company undertakes to file the outstanding GSTR-3B returns and pay the admitted tax with applicable interest within such time as may be granted.</w:t>
      </w:r>
    </w:p>
    <w:p>
      <w:pPr>
        <w:pStyle w:val="Heading2"/>
        <w:spacing w:after="140" w:before="200"/>
      </w:pPr>
      <w:r>
        <w:rPr>
          <w:rFonts w:ascii="Times New Roman" w:cs="Times New Roman" w:eastAsia="Times New Roman" w:hAnsi="Times New Roman"/>
          <w:b/>
          <w:bCs/>
          <w:sz w:val="24"/>
          <w:szCs w:val="24"/>
        </w:rPr>
        <w:t xml:space="preserve">Ground 4 (without prejudice): Interest is on the net cash component; late fee subject to applicable relaxations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Without prejudice, interest under Section 50(1), read with the proviso (retrospective from 01.07.2017), is chargeable on the portion of the liability discharged in cash, not on the portion set off from available input tax credit. Late fee, if any, is subject to the amnesty / relaxation measures notified for the relevant period [VERIFY for the applicable notification], the benefit of which the Company claims.</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Adjudicating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reasonable opportunity to file the outstanding Form GSTR-3B for March 2020 to December 2020 and to discharge the admitted tax with applicable interest;</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recovery under Section 75(12)/Section 79 cannot proceed without the intimation and opportunity required by Rule 88C (Form GST DRC-01B) and Instruction No. 01/2022-GST;</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REFRAIN from coercive recovery or cancellation of registration while the Company regularises its filings;</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interest is chargeable only on the net cash component, and EXTEND the benefit of applicable late-fee relaxations;</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to inspect and take copies of the relied-upon documents, to cross-examine,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Schedule of 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37, 39, 50(1) (with proviso), 75(12) and Explanation, 79 of the CGST Act, 2017; Section 47 (late fee); Rule 88C of the CGST Rules, 2017 (Form GST DRC-01B, inserted by Notification No. 26/2022-Central Tax dated 26.12.2022).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CBIC Instruction No. 01/2022-GST dated 07.01.2022 (recovery under Section 79 for cases under the Explanation to Section 75(12)).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Kuddus Ali v. Assistant Commissioner of Central Tax, Calcutta HC. [VERIFY]</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Exhibit A — GSTR-1 returns filed for the period.</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Exhibit B — GSTR-3B returns filed for prior periods, evidencing the compliance record.</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 Copy of the Impugned SCN / intimation.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2026-06-13T08:28:08.969Z</dcterms:created>
  <dcterms:modified xsi:type="dcterms:W3CDTF">2026-06-13T08:28:08.969Z</dcterms:modified>
</cp:coreProperties>
</file>

<file path=docProps/custom.xml><?xml version="1.0" encoding="utf-8"?>
<Properties xmlns="http://schemas.openxmlformats.org/officeDocument/2006/custom-properties" xmlns:vt="http://schemas.openxmlformats.org/officeDocument/2006/docPropsVTypes"/>
</file>