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detention notice in Form GST MOV-06 and the Show Cause Notice in Form GST MOV-07 under Section 129(3), issued on the allegation of undervaluation of the goods in transit, and request for release of the goods and the conveyance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and circular is marked [VERIFY] for a final check before filing. The route (Rajasthan to Gujarat), the documents carried (tax invoice, e-way bill, LR), and the ground of detention (alleged undervaluation)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were detained, and a notice in Form GST MOV-07 under Section 129(3) was issued, on the sole ground that the value of the goods shown in the tax invoice is allegedly less than their ‘market value’ — that is, undervaluation. The detention is contrary to law. The goods in transit were accompanied by a valid tax invoice and a valid e-way bill; there was no contravention of the Act or the rules governing the movement of goods. Section 129 is not a charging or valuation provision: the adequacy of the declared value is a matter for assessment under the substantive provisions of the Act and not a ground for detention in transit. The goods and the conveyance are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consignment.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supplied goods [name of goods] under Tax Invoice No. [____] dated [____] of value Rs. [____] plus tax (CGST/SGST/IGST as applicable), moved from Rajasthan to Gujarat through M/s [____] Transport (LR No. [____]), conveyance No.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documents carried. </w:t>
      </w:r>
      <w:r>
        <w:rPr>
          <w:rFonts w:ascii="Times New Roman" w:cs="Times New Roman" w:eastAsia="Times New Roman" w:hAnsi="Times New Roman"/>
          <w:b w:val="false"/>
          <w:bCs w:val="false"/>
          <w:i w:val="false"/>
          <w:iCs w:val="false"/>
          <w:caps w:val="false"/>
          <w:sz w:val="24"/>
          <w:szCs w:val="24"/>
        </w:rPr>
        <w:t xml:space="preserve">The movement was accompanied by the tax invoice and a valid e-way bill (No. [____] dated [____]) generated under Rule 138; all documents required for the movement were present and in order.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goods and conveyance were detained and Form GST MOV-06 / MOV-07 issued under Section 129(3), the sole ground being that the value shown was less than the ‘market value’ (alleged undervaluation).</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for release. The Company DENIES any contravention.</w:t>
      </w:r>
    </w:p>
    <w:p>
      <w:pPr>
        <w:pStyle w:val="Heading2"/>
        <w:spacing w:after="140" w:before="200"/>
      </w:pPr>
      <w:r>
        <w:rPr>
          <w:rFonts w:ascii="Times New Roman" w:cs="Times New Roman" w:eastAsia="Times New Roman" w:hAnsi="Times New Roman"/>
          <w:b/>
          <w:bCs/>
          <w:sz w:val="24"/>
          <w:szCs w:val="24"/>
        </w:rPr>
        <w:t xml:space="preserve">Ground 1: Section 129 does not permit detention on the ground of alleged undervaluation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129 applies where goods are transported or stored in transit ‘in contravention of the provisions of this Act or the rules.’ The provision is concerned with the integrity of the movement — the cover of a valid invoice and e-way bill — and not with the adequacy of the declared value. The valuation of a supply is governed by Section 15 and is a matter for assessment by the jurisdictional officer in due course; it cannot be examined and re-determined by a detaining officer at the roadside. Detention founded solely on a suspicion of undervaluation is without jurisdiction.</w:t>
      </w:r>
    </w:p>
    <w:p>
      <w:pPr>
        <w:spacing w:after="160" w:line="276"/>
        <w:jc w:val="both"/>
      </w:pPr>
      <w:r>
        <w:rPr>
          <w:rFonts w:ascii="Times New Roman" w:cs="Times New Roman" w:eastAsia="Times New Roman" w:hAnsi="Times New Roman"/>
          <w:b/>
          <w:bCs/>
          <w:sz w:val="24"/>
          <w:szCs w:val="24"/>
        </w:rPr>
        <w:t xml:space="preserve">(Authority).</w:t>
      </w:r>
      <w:r>
        <w:rPr>
          <w:rFonts w:ascii="Times New Roman" w:cs="Times New Roman" w:eastAsia="Times New Roman" w:hAnsi="Times New Roman"/>
          <w:sz w:val="24"/>
          <w:szCs w:val="24"/>
        </w:rPr>
        <w:t xml:space="preserve"> Reliance is placed on the line of High Court authority holding that goods accompanied by a valid invoice and e-way bill cannot be detained under Section 129 on the ground of suspected undervaluation, the remedy lying in assessment — to be cited from the jurisdictional High Court and reporter-verified before filing. [VERIFY]</w:t>
      </w:r>
    </w:p>
    <w:p>
      <w:pPr>
        <w:pStyle w:val="Heading2"/>
        <w:spacing w:after="140" w:before="200"/>
      </w:pPr>
      <w:r>
        <w:rPr>
          <w:rFonts w:ascii="Times New Roman" w:cs="Times New Roman" w:eastAsia="Times New Roman" w:hAnsi="Times New Roman"/>
          <w:b/>
          <w:bCs/>
          <w:sz w:val="24"/>
          <w:szCs w:val="24"/>
        </w:rPr>
        <w:t xml:space="preserve">Ground 2: There was no contravention; valid invoice and e-way bill accompanied the goods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movement was covered by a valid tax invoice and a valid e-way bill. No discrepancy in the documents, the quantity, or the description of the goods is alleged. Where the documents are in order and the movement is genuine, the foundational requirement of Section 129 — a contravention — is absent.</w:t>
      </w:r>
    </w:p>
    <w:p>
      <w:pPr>
        <w:pStyle w:val="Heading2"/>
        <w:spacing w:after="140" w:before="200"/>
      </w:pPr>
      <w:r>
        <w:rPr>
          <w:rFonts w:ascii="Times New Roman" w:cs="Times New Roman" w:eastAsia="Times New Roman" w:hAnsi="Times New Roman"/>
          <w:b/>
          <w:bCs/>
          <w:sz w:val="24"/>
          <w:szCs w:val="24"/>
        </w:rPr>
        <w:t xml:space="preserve">Ground 3: Detention requires intent to evade tax; mere allegation of undervaluation does not establish 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detention and penalty machinery of Section 129 is directed at evasion. A bona fide declaration of the transaction value, supported by a genuine invoice, does not evidence any intent to evade tax. Reliance is placed on the principle, recognised by the Hon’ble Supreme Court in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2022 (1) TMI 954 (SC) / [2022] 134 taxmann.com 241 / (2022) 14 SCC 157 (SLP(C) No. 21132 of 2021, order dated 12.01.2022, affirming Telangana HC in W.P. No. 9688 of 2020, dated 02.06.2021) [VERIFY], that detention is not warranted absent a finding of intent to evade tax. The burden of establishing such intent lies on the Department and is not discharged by a bare allegation of undervaluation.</w:t>
      </w:r>
    </w:p>
    <w:p>
      <w:pPr>
        <w:pStyle w:val="Heading2"/>
        <w:spacing w:after="140" w:before="200"/>
      </w:pPr>
      <w:r>
        <w:rPr>
          <w:rFonts w:ascii="Times New Roman" w:cs="Times New Roman" w:eastAsia="Times New Roman" w:hAnsi="Times New Roman"/>
          <w:b/>
          <w:bCs/>
          <w:sz w:val="24"/>
          <w:szCs w:val="24"/>
        </w:rPr>
        <w:t xml:space="preserve">Ground 4: Release of the goods and the conveyance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ought to be released forthwith. Without prejudice, if the officer is of the view that any valuation question survives, that is a matter to be referred to the jurisdictional officer for assessment under Section 15; it is not a ground to continue the detention. The Company is willing to furnish such security as the law permits, under protest, to secure immediate release.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(No. [____]) forthwith, the movement being covered by a valid invoice and e-way bill;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Section 129 does not permit detention on an allegation of undervaluation, the question of value being one for assessment under Section 15;</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intent to evade tax is made out;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129(3) and refrain from any demand of tax or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15, 129 of the CGST Act, 2017; Rule 138 of the CGST Rules, 2017 (e-way bill);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2022 (1) TMI 954 (SC) / (2022) 14 SCC 157, SLP(C) No. 21132 of 2021, order dated 12.01.2022 (affirming Telangana HC, W.P. No. 9688 of 2020, dated 02.06.2021) (intent to evade).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that detention under Section 129 is not warranted on an allegation of undervaluation where documents are in order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2026-06-13T08:26:20.652Z</dcterms:created>
  <dcterms:modified xsi:type="dcterms:W3CDTF">2026-06-13T08:26:20.652Z</dcterms:modified>
</cp:coreProperties>
</file>

<file path=docProps/custom.xml><?xml version="1.0" encoding="utf-8"?>
<Properties xmlns="http://schemas.openxmlformats.org/officeDocument/2006/custom-properties" xmlns:vt="http://schemas.openxmlformats.org/officeDocument/2006/docPropsVTypes"/>
</file>