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to the notice alleging availment of input tax credit on the basis of Form GSTR-2A instead of Form GSTR-2B, and proposing reversal of the difference with interest and penalty — Letter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Letter No. [____] dated [____] (the “Impugned Notice”).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circular and notification is marked [VERIFY] for a final check before filing. The month/period and the reversal/interest/penalty proposal are reproduced from the notice as recited in the source.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Impugned Notice alleges that the Company availed input tax credit by reference to Form GSTR-2A rather than Form GSTR-2B for the month of January 2021, and proposes reversal of the difference with interest and penalty. The allegation is misconceived. The eligibility for credit is governed by Section 16, on self-assessment; GSTR-2B was not a statutory anchor for availment until the substitution of Rule 36(4) and the insertion of Section 16(2)(aa) operative from 1 January 2022. For the period in question, a transient timing difference between GSTR-2A and GSTR-2B — both being auto-populated statements that ultimately reconcile as suppliers file — cannot support reversal of a credit otherwise validly availed under Section 16(2).</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availed credit on inward supplies in the ordinary course, on the strength of tax invoices and after receipt of the supplies and payment to its suppliers including tax.</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allegation. </w:t>
      </w:r>
      <w:r>
        <w:rPr>
          <w:rFonts w:ascii="Times New Roman" w:cs="Times New Roman" w:eastAsia="Times New Roman" w:hAnsi="Times New Roman"/>
          <w:b w:val="false"/>
          <w:bCs w:val="false"/>
          <w:i w:val="false"/>
          <w:iCs w:val="false"/>
          <w:caps w:val="false"/>
          <w:sz w:val="24"/>
          <w:szCs w:val="24"/>
        </w:rPr>
        <w:t xml:space="preserve">The Department alleges that, in January 2021, the credit availed in GSTR-3B exceeded the amount reflected in GSTR-2B (the credit being supported instead by GSTR-2A), and proposes reversal of the difference with interest and penalty.</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documentary position. </w:t>
      </w:r>
      <w:r>
        <w:rPr>
          <w:rFonts w:ascii="Times New Roman" w:cs="Times New Roman" w:eastAsia="Times New Roman" w:hAnsi="Times New Roman"/>
          <w:b w:val="false"/>
          <w:bCs w:val="false"/>
          <w:i w:val="false"/>
          <w:iCs w:val="false"/>
          <w:caps w:val="false"/>
          <w:sz w:val="24"/>
          <w:szCs w:val="24"/>
        </w:rPr>
        <w:t xml:space="preserve">The Company holds the tax invoices for the disputed credit, has received the supplies, and has paid its suppliers including tax. The difference is a timing difference between the two auto-populated statements, reconciling as the suppliers’ filings were taken on record.</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Procedural chronology.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Jan 2021</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Credit availed in GSTR-3B on the strength of invoices</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Tax invoices; GSTR-3B; GSTR-2A</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Notice alleging excess over GSTR-2B</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Notice / ASMT-10</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Reply furnished at the pre-SCN stage (if any)</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Reply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This reply filed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Present reply, with reconciliation Annexure</w:t>
            </w:r>
          </w:p>
        </w:tc>
      </w:tr>
    </w:tbl>
    <w:p>
      <w:pPr>
        <w:pStyle w:val="Heading1"/>
        <w:spacing w:after="160" w:before="260"/>
      </w:pPr>
      <w:r>
        <w:rPr>
          <w:rFonts w:ascii="Times New Roman" w:cs="Times New Roman" w:eastAsia="Times New Roman" w:hAnsi="Times New Roman"/>
          <w:b/>
          <w:bCs/>
          <w:caps/>
          <w:sz w:val="26"/>
          <w:szCs w:val="26"/>
        </w:rPr>
        <w:t xml:space="preserve">Grounds / Submissions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The Company DENIES that any credit is liable to reversal.</w:t>
      </w:r>
    </w:p>
    <w:p>
      <w:pPr>
        <w:pStyle w:val="Heading2"/>
        <w:spacing w:after="140" w:before="200"/>
      </w:pPr>
      <w:r>
        <w:rPr>
          <w:rFonts w:ascii="Times New Roman" w:cs="Times New Roman" w:eastAsia="Times New Roman" w:hAnsi="Times New Roman"/>
          <w:b/>
          <w:bCs/>
          <w:sz w:val="24"/>
          <w:szCs w:val="24"/>
        </w:rPr>
        <w:t xml:space="preserve">Ground 1: Credit is availed on self-assessment under Section 16; GSTR-2B was not a statutory condition for the relevant period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Section 16(2) prescribes the conditions for credit — possession of a tax invoice, receipt of the supply, tax actually paid, and furnishing of the return — and opens with a non-obstante clause. The requirement to avail credit by reference to the auto-populated GSTR-2B is traceable to the substituted Rule 36(4) and to Section 16(2)(aa), both operative from 1 January 2022 [VERIFY]. Before that date, the figure in GSTR-2B was not a statutory ceiling on availment; credit rested on self-assessment from the books and invoices. The Hon’ble Supreme Court in </w:t>
      </w:r>
      <w:r>
        <w:rPr>
          <w:rFonts w:ascii="Times New Roman" w:cs="Times New Roman" w:eastAsia="Times New Roman" w:hAnsi="Times New Roman"/>
          <w:b w:val="false"/>
          <w:bCs w:val="false"/>
          <w:i/>
          <w:iCs/>
          <w:caps w:val="false"/>
          <w:sz w:val="24"/>
          <w:szCs w:val="24"/>
        </w:rPr>
        <w:t xml:space="preserve">Union of India v. Bharti Airtel Ltd.</w:t>
      </w:r>
      <w:r>
        <w:rPr>
          <w:rFonts w:ascii="Times New Roman" w:cs="Times New Roman" w:eastAsia="Times New Roman" w:hAnsi="Times New Roman"/>
          <w:b w:val="false"/>
          <w:bCs w:val="false"/>
          <w:i w:val="false"/>
          <w:iCs w:val="false"/>
          <w:caps w:val="false"/>
          <w:sz w:val="24"/>
          <w:szCs w:val="24"/>
        </w:rPr>
        <w:t xml:space="preserve">, 2021 INSC 684 / (2022) 4 SCC 328 [VERIFY], held that the auto-populated statements are a facilitator for self-assessment and not the primary source of the entitlement (the proposition is relied on in that limited sense only).</w:t>
      </w:r>
    </w:p>
    <w:p>
      <w:pPr>
        <w:pStyle w:val="Heading2"/>
        <w:spacing w:after="140" w:before="200"/>
      </w:pPr>
      <w:r>
        <w:rPr>
          <w:rFonts w:ascii="Times New Roman" w:cs="Times New Roman" w:eastAsia="Times New Roman" w:hAnsi="Times New Roman"/>
          <w:b/>
          <w:bCs/>
          <w:sz w:val="24"/>
          <w:szCs w:val="24"/>
        </w:rPr>
        <w:t xml:space="preserve">Ground 2: A timing difference between GSTR-2A and GSTR-2B is not a loss of credit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GSTR-2A is a dynamic statement that updates as suppliers file; GSTR-2B is a static monthly statement generated on a cut-off date. A difference between them, in the relevant period, reflects only the timing of suppliers’ filings, and reconciles over time. Where the Company holds the invoices, received the supplies, and paid its suppliers, a transient 2A/2B timing difference cannot be equated with an inadmissible or excess credit. The reconciliation at Annexure 1 demonstrates the position supplier by supplier.</w:t>
      </w:r>
    </w:p>
    <w:p>
      <w:pPr>
        <w:pStyle w:val="Heading2"/>
        <w:spacing w:after="140" w:before="200"/>
      </w:pPr>
      <w:r>
        <w:rPr>
          <w:rFonts w:ascii="Times New Roman" w:cs="Times New Roman" w:eastAsia="Times New Roman" w:hAnsi="Times New Roman"/>
          <w:b/>
          <w:bCs/>
          <w:sz w:val="24"/>
          <w:szCs w:val="24"/>
        </w:rPr>
        <w:t xml:space="preserve">Ground 3: Even on a 2A/3B framing, the Board’s verification procedure applies — Circular No. 183/15/2022-GST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To the extent the difference is treated as one between credit availed and the auto-populated statement, the Board’s procedure in Circular No. 183/15/2022-GST dated 27.12.2022 [VERIFY] requires verification on the recipient’s documents (with a CA/CMA certificate bearing a UDIN where the per-supplier difference exceeds Rs. 5,00,000, and a supplier certificate where it does not), and not a mechanical reversal. The Company undertakes to furnish the appropriate certificates and documents.</w:t>
      </w:r>
    </w:p>
    <w:p>
      <w:pPr>
        <w:pStyle w:val="Heading2"/>
        <w:spacing w:after="140" w:before="200"/>
      </w:pPr>
      <w:r>
        <w:rPr>
          <w:rFonts w:ascii="Times New Roman" w:cs="Times New Roman" w:eastAsia="Times New Roman" w:hAnsi="Times New Roman"/>
          <w:b/>
          <w:bCs/>
          <w:sz w:val="24"/>
          <w:szCs w:val="24"/>
        </w:rPr>
        <w:t xml:space="preserve">Ground 4 (without prejudice): No interest where credit not utilised; no penalty absent intent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Without prejudice, to the extent any disputed credit was not utilised, no interest arises under Section 50(3) read with Rule 88B(3) [VERIFY]. Penalty cannot attach absent fraud, wilful misstatement or suppression; a 2A/2B timing difference is a matter of reconciliation, not evasion.</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Adjudicating Authority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for the relevant period, credit was availed on self-assessment under Section 16 and that GSTR-2B was not a statutory condition for availment;</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a timing difference between GSTR-2A and GSTR-2B is not an inadmissible credit, and DROP the proposed reversal;</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APPLY Circular No. 183/15/2022-GST and accept the certificates and documents to be furnished;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DROP the interest and penalty as unsustainable;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16(1), 16(2)(a)–(d), 16(2)(aa), 50 of the CGST Act, 2017; Rule 36 and Rule 36(4) of the CGST Rules, 2017 (substituted form mandating GSTR-2B w.e.f. 01.01.2022).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Union of India v. Bharti Airtel Ltd., Supreme Court, 2021 INSC 684 / (2022) 4 SCC 328 (auto-populated statement a facilitator).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Circular No. 183/15/2022-GST dated 27.12.2022 (verification procedure; Rs. 5,00,000 threshold; CA/CMA vs supplier certificate).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Rule 88B(3) of the CGST Rules, 2017 (interest on credit availed and utilised).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Supplier-wise reconciliation of credit availed with GSTR-2A and GSTR-2B for the relevant period.</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Tax invoices and proof of payment for the disputed credit.</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3 — Copy of the Impugned Notice.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2026-06-13T08:26:20.971Z</dcterms:created>
  <dcterms:modified xsi:type="dcterms:W3CDTF">2026-06-13T08:26:20.971Z</dcterms:modified>
</cp:coreProperties>
</file>

<file path=docProps/custom.xml><?xml version="1.0" encoding="utf-8"?>
<Properties xmlns="http://schemas.openxmlformats.org/officeDocument/2006/custom-properties" xmlns:vt="http://schemas.openxmlformats.org/officeDocument/2006/docPropsVTypes"/>
</file>