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Proper Officer / State Tax Officer (Mobile Squad / Enforcement)</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Range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detention notice in Form GST MOV-06 and the Show Cause Notice in Form GST MOV-07 under Section 129(3), issued on the ground that no e-way bill was found, in respect of imported goods moved after clearance for home consumption — MOV-07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Authorities are marked [VERIFY] for a final check before filing. The facts (goods imported from the USA, cleared on a bill of entry for home consumption with IGST paid, then moved to the factory) and the ground of detention (e-way bill not found)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conveyance were detained on the ground that no e-way bill was found. The goods were imported from the USA, cleared for home consumption on a bill of entry with IGST paid on import, and were being moved from the customs station to the Company’s factory. The detention is unsustainable: the movement was covered by the customs documents (the bill of entry and proof of IGST payment), the tax on the goods stood discharged on import, and there was no contravention warranting detention or any further levy. The goods and the conveyance ought to be released.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import.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imported goods from the USA; the goods were delivered at [Delhi] on [____] and cleared for home consumption on a bill of entry, IGST on the import having been paid.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movement. </w:t>
      </w:r>
      <w:r>
        <w:rPr>
          <w:rFonts w:ascii="Times New Roman" w:cs="Times New Roman" w:eastAsia="Times New Roman" w:hAnsi="Times New Roman"/>
          <w:b w:val="false"/>
          <w:bCs w:val="false"/>
          <w:i w:val="false"/>
          <w:iCs w:val="false"/>
          <w:caps w:val="false"/>
          <w:sz w:val="24"/>
          <w:szCs w:val="24"/>
        </w:rPr>
        <w:t xml:space="preserve">The goods were thereafter moved from the customs station to the Company’s factory at [Delhi], accompanied by the bill of entry and the import documents.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detention. </w:t>
      </w:r>
      <w:r>
        <w:rPr>
          <w:rFonts w:ascii="Times New Roman" w:cs="Times New Roman" w:eastAsia="Times New Roman" w:hAnsi="Times New Roman"/>
          <w:b w:val="false"/>
          <w:bCs w:val="false"/>
          <w:i w:val="false"/>
          <w:iCs w:val="false"/>
          <w:caps w:val="false"/>
          <w:sz w:val="24"/>
          <w:szCs w:val="24"/>
        </w:rPr>
        <w:t xml:space="preserve">The goods and conveyance were detained, and Form GST MOV-06 / MOV-07 issued under Section 129(3), on the ground that no e-way bill was found.</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tax on the goods stood discharged on import; there is no evasion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IGST on the imported goods was paid at the time of clearance for home consumption on the bill of entry. The taxable event for the import having been met and the tax discharged, the subsequent movement of the cleared goods to the Company’s factory occasions no further tax and no evasion. The detention proceeds on a misconception that an inland e-way bill default, in respect of duty-paid imported goods, exposes the goods to detention and a fresh levy; it does not.</w:t>
      </w:r>
    </w:p>
    <w:p>
      <w:pPr>
        <w:pStyle w:val="Heading2"/>
        <w:spacing w:after="140" w:before="200"/>
      </w:pPr>
      <w:r>
        <w:rPr>
          <w:rFonts w:ascii="Times New Roman" w:cs="Times New Roman" w:eastAsia="Times New Roman" w:hAnsi="Times New Roman"/>
          <w:b/>
          <w:bCs/>
          <w:sz w:val="24"/>
          <w:szCs w:val="24"/>
        </w:rPr>
        <w:t xml:space="preserve">Ground 2: The movement was covered by the customs documents; any e-way bill lapse is at most technical</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movement from the customs station to the factory was accompanied by the bill of entry and the import documents, which establish the identity, quantity and duty-paid character of the goods. To the extent an e-way bill was required for the inland leg and was not generated, the lapse is at most a technical or procedural one, unaccompanied by any intent to evade, and does not justify detention, confiscation or penalty.</w:t>
      </w:r>
    </w:p>
    <w:p>
      <w:pPr>
        <w:pStyle w:val="Heading2"/>
        <w:spacing w:after="140" w:before="200"/>
      </w:pPr>
      <w:r>
        <w:rPr>
          <w:rFonts w:ascii="Times New Roman" w:cs="Times New Roman" w:eastAsia="Times New Roman" w:hAnsi="Times New Roman"/>
          <w:b/>
          <w:bCs/>
          <w:sz w:val="24"/>
          <w:szCs w:val="24"/>
        </w:rPr>
        <w:t xml:space="preserve">Ground 3: No intent to evade tax; Section 129 / 130 not attracted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Detention and the penalty machinery are directed at evasion. Where the goods are duty-paid imports moved under cover of customs documents, there is no evasion and no warrant to invoke Section 129, far less Section 130. Reliance is placed on the principle in </w:t>
      </w:r>
      <w:r>
        <w:rPr>
          <w:rFonts w:ascii="Times New Roman" w:cs="Times New Roman" w:eastAsia="Times New Roman" w:hAnsi="Times New Roman"/>
          <w:b w:val="false"/>
          <w:bCs w:val="false"/>
          <w:i/>
          <w:iCs/>
          <w:caps w:val="false"/>
          <w:sz w:val="24"/>
          <w:szCs w:val="24"/>
        </w:rPr>
        <w:t xml:space="preserve">Assistant Commissioner (ST) v. Satyam Shivam Papers Pvt. Ltd.</w:t>
      </w:r>
      <w:r>
        <w:rPr>
          <w:rFonts w:ascii="Times New Roman" w:cs="Times New Roman" w:eastAsia="Times New Roman" w:hAnsi="Times New Roman"/>
          <w:b w:val="false"/>
          <w:bCs w:val="false"/>
          <w:i w:val="false"/>
          <w:iCs w:val="false"/>
          <w:caps w:val="false"/>
          <w:sz w:val="24"/>
          <w:szCs w:val="24"/>
        </w:rPr>
        <w:t xml:space="preserve">, 2022 (1) TMI 954 (SC) / [2022] 134 taxmann.com 241 / (2022) 14 SCC 157 (SLP(C) No. 21132 of 2021, order dated 12.01.2022, affirming Telangana HC in W.P. No. 9688 of 2020, dated 02.06.2021) [VERIFY], that detention is impermissible absent intent to evade tax, and on the line of High Court authority holding that a mere e-way bill lapse, without intent to evade, does not justify detention or penalty. [VERIFY]</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RELEASE the goods and the conveyance (No. [____]) forthwith, the goods being duty-paid imports moved under cover of the bill of entry;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IGST on import stood discharged and that no further tax or penalty is exigible;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no intent to evade tax is made out and that Section 129 / 130 is not attracted;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proceeding under Form GST MOV-07 / Section 129(3);</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7, 129, 130 of the CGST Act, 2017; Section 5 of the IGST Act, 2017 (levy on import); Rule 138 of the CGST Rules, 2017; Forms GST MOV-06 and MOV-07.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Assistant Commissioner (ST) v. Satyam Shivam Papers Pvt. Ltd., Supreme Court, 2022 (1) TMI 954 (SC) / (2022) 14 SCC 157, SLP(C) No. 21132 of 2021, order dated 12.01.2022 (affirming Telangana HC, W.P. No. 9688 of 2020, dated 02.06.2021).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High Court authority that a mere e-way bill lapse without intent to evade does not justify detention or penalty — to be cited from the jurisdictional High Court and reporter-verified.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2026-06-13T08:26:21.037Z</dcterms:created>
  <dcterms:modified xsi:type="dcterms:W3CDTF">2026-06-13T08:26:21.037Z</dcterms:modified>
</cp:coreProperties>
</file>

<file path=docProps/custom.xml><?xml version="1.0" encoding="utf-8"?>
<Properties xmlns="http://schemas.openxmlformats.org/officeDocument/2006/custom-properties" xmlns:vt="http://schemas.openxmlformats.org/officeDocument/2006/docPropsVTypes"/>
</file>