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 State Tax Officer (Mobile Squad / Enforcement)</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detention notice in Form GST MOV-06 and the Show Cause Notice in Form GST MOV-07 under Section 129(3), issued on the ground of a mismatch between the vehicle number in Part-B of the e-way bill and the conveyance, and request for release of the goods and the conveyance — MOV-07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case authority is marked [VERIFY] for a final check before filing. The ground (wrong vehicle number in Part-B of the e-way bill, said to be a clerical / technical error, the correct number being reported in the invoice) is reproduced from the source. The text of Circular No. 64/38/2018-GST is reproduced verbatim as relied upon in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conveyance were detained, and a notice in Form GST MOV-07 under Section 129(3) issued, on the ground that the vehicle number entered in Part-B of the e-way bill did not match the conveyance carrying the goods. The error is a minor, clerical / technical one — a mis-entry of the vehicle number — the correct vehicle number being borne out by the invoice and the other documents. The Board’s own Circular No. 64/38/2018-GST dated 14 September 2018 directs that, in such minor-discrepancy cases, proceedings under Section 129 may not be initiated and only a nominal general penalty applies. The goods and the conveyance are liable to be released.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consignment.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moved goods under Tax Invoice No. [____] dated [____] and e-way bill No. [____] dated [____], generated under Rule 138.</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error. </w:t>
      </w:r>
      <w:r>
        <w:rPr>
          <w:rFonts w:ascii="Times New Roman" w:cs="Times New Roman" w:eastAsia="Times New Roman" w:hAnsi="Times New Roman"/>
          <w:b w:val="false"/>
          <w:bCs w:val="false"/>
          <w:i w:val="false"/>
          <w:iCs w:val="false"/>
          <w:caps w:val="false"/>
          <w:sz w:val="24"/>
          <w:szCs w:val="24"/>
        </w:rPr>
        <w:t xml:space="preserve">The vehicle number entered in Part-B of the e-way bill was incorrect, owing to a clerical / technical mistake by the accounts staff; the correct vehicle number is [____], which was also reported in the invoice.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detention. </w:t>
      </w:r>
      <w:r>
        <w:rPr>
          <w:rFonts w:ascii="Times New Roman" w:cs="Times New Roman" w:eastAsia="Times New Roman" w:hAnsi="Times New Roman"/>
          <w:b w:val="false"/>
          <w:bCs w:val="false"/>
          <w:i w:val="false"/>
          <w:iCs w:val="false"/>
          <w:caps w:val="false"/>
          <w:sz w:val="24"/>
          <w:szCs w:val="24"/>
        </w:rPr>
        <w:t xml:space="preserve">The goods and conveyance were detained and Form GST MOV-06 / MOV-07 issued under Section 129(3), the sole ground being the mismatch in the vehicle number.</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A wrong vehicle number in the e-way bill is a minor discrepancy; Section 129 ought not to be invoked — Circular No. 64/38/2018-GST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Board, by Circular No. 64/38/2018-GST dated 14 September 2018 [VERIFY], clarified that where a consignment is accompanied by an invoice and an e-way bill, proceedings under Section 129 may not be initiated in cases of specified minor discrepancies, and that only a nominal penalty applies. The relevant extract, reproduced as relied upon, reads:</w:t>
      </w:r>
    </w:p>
    <w:p>
      <w:pPr>
        <w:spacing w:after="140" w:line="264"/>
        <w:ind w:left="720" w:right="360"/>
        <w:jc w:val="both"/>
      </w:pPr>
      <w:r>
        <w:rPr>
          <w:rFonts w:ascii="Times New Roman" w:cs="Times New Roman" w:eastAsia="Times New Roman" w:hAnsi="Times New Roman"/>
          <w:i/>
          <w:iCs/>
          <w:sz w:val="22"/>
          <w:szCs w:val="22"/>
        </w:rPr>
        <w:t xml:space="preserve">5. Further, in case a consignment of goods is accompanied with an invoice or any other specified document and also an e-way bill, proceedings under section 129 of the CGST Act may not be initiated, inter alia, in the following situations: a) Spelling mistakes in the name of the consignor or the consignee but the GSTIN, wherever applicable, is correct; b) Error in the pin-code but the address of the consignor and the consignee mentioned is correct, subject to the condition that the error in the PIN code should not have the effect of increasing the validity period of the e-way bill; c) Error in the address of the consignee to the extent that the locality and other details of the consignee are correct; d) Error in one or two digits of the document number mentioned in the e-way bill; e) Error in 4 or 6 digit level of HSN where the first 2 digits of HSN are correct and the rate of tax mentioned is correct; f) Error in one or two digits/characters of the vehicle number.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error here — an incorrect vehicle number, the correct number being on the invoice — falls within clause (f) (and is, in substance, the same species of minor discrepancy the Circular addresses). In terms of the Circular, proceedings under Section 129 ought not to have been initiated, and at most a nominal penalty under Section 125 applies.</w:t>
      </w:r>
    </w:p>
    <w:p>
      <w:pPr>
        <w:pStyle w:val="Heading2"/>
        <w:spacing w:after="140" w:before="200"/>
      </w:pPr>
      <w:r>
        <w:rPr>
          <w:rFonts w:ascii="Times New Roman" w:cs="Times New Roman" w:eastAsia="Times New Roman" w:hAnsi="Times New Roman"/>
          <w:b/>
          <w:bCs/>
          <w:sz w:val="24"/>
          <w:szCs w:val="24"/>
        </w:rPr>
        <w:t xml:space="preserve">Ground 2: A clerical error in the vehicle number, with no intent to evade, does not justify detention or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mis-entry of the vehicle number is a bona fide clerical / technical error. There is no allegation that the goods were not those described, that the invoice or e-way bill was otherwise wanting, or that the movement was not genuine. Detention and penalty under Section 129 are directed at evasion; a clerical slip unaccompanied by any intent to evade does not attract them. Reliance is placed on </w:t>
      </w:r>
      <w:r>
        <w:rPr>
          <w:rFonts w:ascii="Times New Roman" w:cs="Times New Roman" w:eastAsia="Times New Roman" w:hAnsi="Times New Roman"/>
          <w:b w:val="false"/>
          <w:bCs w:val="false"/>
          <w:i/>
          <w:iCs/>
          <w:caps w:val="false"/>
          <w:sz w:val="24"/>
          <w:szCs w:val="24"/>
        </w:rPr>
        <w:t xml:space="preserve">Assistant Commissioner (ST) v. Satyam Shivam Papers Pvt. Ltd.</w:t>
      </w:r>
      <w:r>
        <w:rPr>
          <w:rFonts w:ascii="Times New Roman" w:cs="Times New Roman" w:eastAsia="Times New Roman" w:hAnsi="Times New Roman"/>
          <w:b w:val="false"/>
          <w:bCs w:val="false"/>
          <w:i w:val="false"/>
          <w:iCs w:val="false"/>
          <w:caps w:val="false"/>
          <w:sz w:val="24"/>
          <w:szCs w:val="24"/>
        </w:rPr>
        <w:t xml:space="preserve">, 2022 (1) TMI 954 (SC) / [2022] 134 taxmann.com 241 / (2022) 14 SCC 157 (SLP(C) No. 21132 of 2021, order dated 12.01.2022, affirming Telangana HC in W.P. No. 9688 of 2020, dated 02.06.2021) [VERIFY] (detention impermissible absent intent to evade), and on the line of High Court authority setting aside detention for a wrong vehicle number in the e-way bill where the error was minor and bona fide. [VERIFY]</w:t>
      </w:r>
    </w:p>
    <w:p>
      <w:pPr>
        <w:pStyle w:val="Heading2"/>
        <w:spacing w:after="140" w:before="200"/>
      </w:pPr>
      <w:r>
        <w:rPr>
          <w:rFonts w:ascii="Times New Roman" w:cs="Times New Roman" w:eastAsia="Times New Roman" w:hAnsi="Times New Roman"/>
          <w:b/>
          <w:bCs/>
          <w:sz w:val="24"/>
          <w:szCs w:val="24"/>
        </w:rPr>
        <w:t xml:space="preserve">Ground 3: Release of the goods and the conveyance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ought to be released forthwith. At most, a general penalty under Section 125 may apply to the minor discrepancy; the levy of tax and penalty under Section 129 is not warranted. The Company is willing, under protest, to furnish such security as the law permits to secure immediate release.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goods and the conveyance (No. [____]) forthwith;</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in terms of Circular No. 64/38/2018-GST, that the wrong vehicle number is a minor discrepancy not warranting proceedings under Section 129;</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intent to evade tax is made out;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under Form GST MOV-07 / Section 129(3), at most a nominal penalty under Section 125 applying;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122, 125, 129 of the CGST Act, 2017; Rule 138 of the CGST Rules, 2017; Forms GST MOV-06 and MOV-07.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64/38/2018-GST dated 14.09.2018 (minor discrepancies; no Section 129 proceedings; nominal penalty).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Assistant Commissioner (ST) v. Satyam Shivam Papers Pvt. Ltd., Supreme Court, 2022 (1) TMI 954 (SC) / (2022) 14 SCC 157, SLP(C) No. 21132 of 2021, order dated 12.01.2022 (affirming Telangana HC, W.P. No. 9688 of 2020, dated 02.06.2021).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setting aside detention for a minor / bona fide wrong vehicle number in the e-way bill — to be cited from the jurisdictional High Court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2026-06-13T08:26:21.058Z</dcterms:created>
  <dcterms:modified xsi:type="dcterms:W3CDTF">2026-06-13T08:26:21.058Z</dcterms:modified>
</cp:coreProperties>
</file>

<file path=docProps/custom.xml><?xml version="1.0" encoding="utf-8"?>
<Properties xmlns="http://schemas.openxmlformats.org/officeDocument/2006/custom-properties" xmlns:vt="http://schemas.openxmlformats.org/officeDocument/2006/docPropsVTypes"/>
</file>