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 of the Proper Officer]</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60"/>
        <w:jc w:val="left"/>
      </w:pPr>
      <w:r>
        <w:rPr>
          <w:rFonts w:ascii="Times New Roman" w:cs="Times New Roman" w:eastAsia="Times New Roman" w:hAnsi="Times New Roman"/>
          <w:sz w:val="24"/>
          <w:szCs w:val="24"/>
        </w:rPr>
        <w:t xml:space="preserve">Through: the common portal (FORM GST REG-24) and by e-mail / hand delivery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Name of the registered person</w:t>
            </w:r>
          </w:p>
        </w:tc>
        <w:tc>
          <w:tcPr>
            <w:tcW w:type="dxa" w:w="61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M/s Noticedesk Technologies Private Limited</w:t>
            </w:r>
          </w:p>
        </w:tc>
      </w:tr>
      <w:tr>
        <w:tc>
          <w:tcPr>
            <w:tcW w:type="dxa" w:w="3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GSTIN (cancelled)</w:t>
            </w:r>
          </w:p>
        </w:tc>
        <w:tc>
          <w:tcPr>
            <w:tcW w:type="dxa" w:w="61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[__________]</w:t>
            </w:r>
          </w:p>
        </w:tc>
      </w:tr>
      <w:tr>
        <w:tc>
          <w:tcPr>
            <w:tcW w:type="dxa" w:w="3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Order of cancellation (ref. &amp; date)</w:t>
            </w:r>
          </w:p>
        </w:tc>
        <w:tc>
          <w:tcPr>
            <w:tcW w:type="dxa" w:w="61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 dated [____]</w:t>
            </w:r>
          </w:p>
        </w:tc>
      </w:tr>
      <w:tr>
        <w:tc>
          <w:tcPr>
            <w:tcW w:type="dxa" w:w="3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Application for revocation (FORM GST REG-21)</w:t>
            </w:r>
          </w:p>
        </w:tc>
        <w:tc>
          <w:tcPr>
            <w:tcW w:type="dxa" w:w="61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ARN [____] dated [____]</w:t>
            </w:r>
          </w:p>
        </w:tc>
      </w:tr>
      <w:tr>
        <w:tc>
          <w:tcPr>
            <w:tcW w:type="dxa" w:w="3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Intimation / Notice demanding NOC (ref. &amp; date)</w:t>
            </w:r>
          </w:p>
        </w:tc>
        <w:tc>
          <w:tcPr>
            <w:tcW w:type="dxa" w:w="61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 dated [____]</w:t>
            </w:r>
          </w:p>
        </w:tc>
      </w:tr>
    </w:tbl>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and representation against the demand for a No Objection Certificate (NOC) from the Anti-Evasion wing / DGGI as a pre-condition for revocation of cancellation of registration under Section 30 of the CGST/SGST Act, 2017 — application in FORM GST REG-21, ARN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 prayer to revoke the cancellation in FORM GST REG-22.</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Particulars in bold square brackets are to be completed from the record. The original representation was addressed to a State Tax Officer in Rajasthan; as the registered person is recorded herein as a Mumbai entity, the addressee jurisdiction and the place of execution must be reconciled before filing (see Flag). Every case citation marked </w:t>
      </w:r>
      <w:r>
        <w:rPr>
          <w:rFonts w:ascii="Times New Roman" w:cs="Times New Roman" w:eastAsia="Times New Roman" w:hAnsi="Times New Roman"/>
          <w:b/>
          <w:bCs/>
          <w:i/>
          <w:iCs/>
          <w:sz w:val="24"/>
          <w:szCs w:val="24"/>
        </w:rPr>
        <w:t xml:space="preserve">[VERIFY]</w:t>
      </w:r>
      <w:r>
        <w:rPr>
          <w:rFonts w:ascii="Times New Roman" w:cs="Times New Roman" w:eastAsia="Times New Roman" w:hAnsi="Times New Roman"/>
          <w:i/>
          <w:iCs/>
          <w:sz w:val="24"/>
          <w:szCs w:val="24"/>
        </w:rPr>
        <w:t xml:space="preserve"> is to be given a final reporter-check before filing.</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registered person’s GST registration was cancelled by the proper officer. Within time, the registered person applied under Section 30 of the Act, in FORM GST REG-21, for revocation of that cancellation. In response, the office has not decided the application on its merits but has instead called upon the registered person to produce a No Objection Certificate from the Anti-Evasion wing / DGGI, on the stated ground that a “negative report” has been received about the GSTIN, before the revocation can be processed.</w:t>
      </w:r>
    </w:p>
    <w:p>
      <w:pPr>
        <w:spacing w:after="160" w:line="276"/>
        <w:jc w:val="both"/>
      </w:pPr>
      <w:r>
        <w:rPr>
          <w:rFonts w:ascii="Times New Roman" w:cs="Times New Roman" w:eastAsia="Times New Roman" w:hAnsi="Times New Roman"/>
          <w:sz w:val="24"/>
          <w:szCs w:val="24"/>
        </w:rPr>
        <w:t xml:space="preserve">The short point is that no such pre-condition exists in law. Neither Section 30 of the Act nor Rule 23 of the CGST Rules, which together exhaustively govern revocation, requires a taxpayer to obtain an NOC from the Anti-Evasion wing, the DGGI, or any other authority. The demand is therefore an extra-statutory condition, imposed without authority of law, and is squarely covered in the registered person’s favour by the judgment of the Hon’ble Delhi High Court in </w:t>
      </w:r>
      <w:r>
        <w:rPr>
          <w:rFonts w:ascii="Times New Roman" w:cs="Times New Roman" w:eastAsia="Times New Roman" w:hAnsi="Times New Roman"/>
          <w:i/>
          <w:iCs/>
          <w:sz w:val="24"/>
          <w:szCs w:val="24"/>
        </w:rPr>
        <w:t xml:space="preserve">Spinns International</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Further, in so far as the demand rests on an undisclosed “negative report,” acting upon material not put to the registered person offends the principles of natural justice. The registered person accordingly prays that the cancellation be revoked in FORM GST REG-22.</w:t>
      </w:r>
    </w:p>
    <w:p>
      <w:pPr>
        <w:pStyle w:val="Heading1"/>
        <w:spacing w:after="140" w:before="280"/>
      </w:pPr>
      <w:r>
        <w:rPr>
          <w:rFonts w:ascii="Times New Roman" w:cs="Times New Roman" w:eastAsia="Times New Roman" w:hAnsi="Times New Roman"/>
          <w:b/>
          <w:bCs/>
          <w:sz w:val="26"/>
          <w:szCs w:val="26"/>
        </w:rPr>
        <w:t xml:space="preserve">FACTUAL BACKGROUND AND CHRONOLOGY</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M/s Noticedesk Technologies Private Limited (the “registered person”) was registered under the CGST and the corresponding SGST Act bearing GSTIN </w:t>
      </w:r>
      <w:r>
        <w:rPr>
          <w:rFonts w:ascii="Times New Roman" w:cs="Times New Roman" w:eastAsia="Times New Roman" w:hAnsi="Times New Roman"/>
          <w:b/>
          <w:bCs/>
          <w:sz w:val="24"/>
          <w:szCs w:val="24"/>
        </w:rPr>
        <w:t xml:space="preserve">[__________]</w:t>
      </w:r>
      <w:r>
        <w:rPr>
          <w:rFonts w:ascii="Times New Roman" w:cs="Times New Roman" w:eastAsia="Times New Roman" w:hAnsi="Times New Roman"/>
          <w:sz w:val="24"/>
          <w:szCs w:val="24"/>
        </w:rPr>
        <w:t xml:space="preserve">. The proper officer issued a show cause notice proposing cancellation of the registration, and thereafter passed an order cancelling the registration. The proceedings, and the registered person’s response, are tabulated below; every date and reference is to be completed from the record before 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rPr>
          <w:tblHeader/>
        </w:trPr>
        <w:tc>
          <w:tcPr>
            <w:tcW w:type="dxa" w:w="9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S.No</w:t>
            </w:r>
          </w:p>
        </w:tc>
        <w:tc>
          <w:tcPr>
            <w:tcW w:type="dxa" w:w="25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Date</w:t>
            </w:r>
          </w:p>
        </w:tc>
        <w:tc>
          <w:tcPr>
            <w:tcW w:type="dxa" w:w="596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Event</w:t>
            </w:r>
          </w:p>
        </w:tc>
      </w:tr>
      <w:tr>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w:t>
            </w:r>
          </w:p>
        </w:tc>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Show Cause Notice for cancellation of registration issued on the common portal. The registered person, not having accessed the portal during the intervening period, did not become aware of the notice contemporaneously.</w:t>
            </w:r>
          </w:p>
        </w:tc>
      </w:tr>
      <w:tr>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2</w:t>
            </w:r>
          </w:p>
        </w:tc>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Order cancelling the GST registration passed by the proper officer.</w:t>
            </w:r>
          </w:p>
        </w:tc>
      </w:tr>
      <w:tr>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3</w:t>
            </w:r>
          </w:p>
        </w:tc>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Application for revocation of cancellation filed under Section 30 in FORM GST REG-21 (ARN [____]).</w:t>
            </w:r>
          </w:p>
        </w:tc>
      </w:tr>
      <w:tr>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4</w:t>
            </w:r>
          </w:p>
        </w:tc>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In response to the revocation application, the office issued an intimation / notice requiring the registered person to furnish a No Objection Certificate from the Anti-Evasion wing / DGGI, recording that a “negative report” had been received about the GSTIN, before the revocation could be processed.</w:t>
            </w:r>
          </w:p>
        </w:tc>
      </w:tr>
      <w:tr>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5</w:t>
            </w:r>
          </w:p>
        </w:tc>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The present reply and representation in FORM GST REG-24.</w:t>
            </w:r>
          </w:p>
        </w:tc>
      </w:tr>
    </w:tbl>
    <w:p>
      <w:pPr>
        <w:pStyle w:val="ListParagraph"/>
        <w:numPr>
          <w:ilvl w:val="0"/>
          <w:numId w:val="2"/>
        </w:numPr>
        <w:spacing w:after="160" w:line="276"/>
        <w:jc w:val="both"/>
      </w:pPr>
      <w:r>
        <w:rPr>
          <w:rFonts w:ascii="Times New Roman" w:cs="Times New Roman" w:eastAsia="Times New Roman" w:hAnsi="Times New Roman"/>
          <w:i/>
          <w:iCs/>
          <w:sz w:val="24"/>
          <w:szCs w:val="24"/>
        </w:rPr>
        <w:t xml:space="preserve">The demand under reply. </w:t>
      </w:r>
      <w:r>
        <w:rPr>
          <w:rFonts w:ascii="Times New Roman" w:cs="Times New Roman" w:eastAsia="Times New Roman" w:hAnsi="Times New Roman"/>
          <w:sz w:val="24"/>
          <w:szCs w:val="24"/>
        </w:rPr>
        <w:t xml:space="preserve">The operative part of the office’s communication required the registered person, in substance, to “provide NOC from anti-evasion / DGGI for the revocation of cancelled registration” on the footing that “a negative report” about the GSTIN had been received. It is this demand, as a pre-condition to revocation, that is respectfully contested below.</w:t>
      </w:r>
    </w:p>
    <w:p>
      <w:pPr>
        <w:pStyle w:val="Heading1"/>
        <w:spacing w:after="140" w:before="280"/>
      </w:pPr>
      <w:r>
        <w:rPr>
          <w:rFonts w:ascii="Times New Roman" w:cs="Times New Roman" w:eastAsia="Times New Roman" w:hAnsi="Times New Roman"/>
          <w:b/>
          <w:bCs/>
          <w:sz w:val="26"/>
          <w:szCs w:val="26"/>
        </w:rPr>
        <w:t xml:space="preserve">SUBMISSIONS</w:t>
      </w:r>
    </w:p>
    <w:p>
      <w:pPr>
        <w:spacing w:after="160" w:line="276"/>
        <w:jc w:val="both"/>
      </w:pPr>
      <w:r>
        <w:rPr>
          <w:rFonts w:ascii="Times New Roman" w:cs="Times New Roman" w:eastAsia="Times New Roman" w:hAnsi="Times New Roman"/>
          <w:sz w:val="24"/>
          <w:szCs w:val="24"/>
        </w:rPr>
        <w:t xml:space="preserve">The following submissions are made; each is independently sufficient to require that the revocation application be allowed and the cancellation revoked in FORM GST REG-22.</w:t>
      </w:r>
    </w:p>
    <w:p>
      <w:pPr>
        <w:pStyle w:val="Heading2"/>
        <w:spacing w:after="120" w:before="200"/>
      </w:pPr>
      <w:r>
        <w:rPr>
          <w:rFonts w:ascii="Times New Roman" w:cs="Times New Roman" w:eastAsia="Times New Roman" w:hAnsi="Times New Roman"/>
          <w:b/>
          <w:bCs/>
          <w:sz w:val="24"/>
          <w:szCs w:val="24"/>
        </w:rPr>
        <w:t xml:space="preserve">SUBMISSION 1: THE DEMAND FOR AN NOC FROM THE ANTI-EVASION WING / DGGI IS WHOLLY WITHOUT AUTHORITY OF LAW</w:t>
      </w:r>
    </w:p>
    <w:p>
      <w:pPr>
        <w:spacing w:after="140" w:line="276"/>
        <w:ind w:left="720"/>
        <w:jc w:val="both"/>
      </w:pPr>
      <w:r>
        <w:rPr>
          <w:rFonts w:ascii="Times New Roman" w:cs="Times New Roman" w:eastAsia="Times New Roman" w:hAnsi="Times New Roman"/>
          <w:b/>
          <w:bCs/>
          <w:i/>
          <w:iCs/>
          <w:sz w:val="24"/>
          <w:szCs w:val="24"/>
        </w:rPr>
        <w:t xml:space="preserve">(a) The pre-condition demanded. </w:t>
      </w:r>
      <w:r>
        <w:rPr>
          <w:rFonts w:ascii="Times New Roman" w:cs="Times New Roman" w:eastAsia="Times New Roman" w:hAnsi="Times New Roman"/>
          <w:sz w:val="24"/>
          <w:szCs w:val="24"/>
        </w:rPr>
        <w:t xml:space="preserve">The office has made the production of an NOC from the Anti-Evasion wing / DGGI a pre-condition to the processing of the revocation application, and has declined to decide the FORM GST REG-21 application until that NOC is furnished.</w:t>
      </w:r>
    </w:p>
    <w:p>
      <w:pPr>
        <w:spacing w:after="140" w:line="276"/>
        <w:ind w:left="720"/>
        <w:jc w:val="both"/>
      </w:pPr>
      <w:r>
        <w:rPr>
          <w:rFonts w:ascii="Times New Roman" w:cs="Times New Roman" w:eastAsia="Times New Roman" w:hAnsi="Times New Roman"/>
          <w:b/>
          <w:bCs/>
          <w:i/>
          <w:iCs/>
          <w:sz w:val="24"/>
          <w:szCs w:val="24"/>
        </w:rPr>
        <w:t xml:space="preserve">(b) The governing law. </w:t>
      </w:r>
      <w:r>
        <w:rPr>
          <w:rFonts w:ascii="Times New Roman" w:cs="Times New Roman" w:eastAsia="Times New Roman" w:hAnsi="Times New Roman"/>
          <w:sz w:val="24"/>
          <w:szCs w:val="24"/>
        </w:rPr>
        <w:t xml:space="preserve">Revocation of cancellation of registration is governed, exhaustively, by Section 30 of the Act read with Rule 23 of the CGST Rules. Section 30 permits a registered person whose registration has been cancelled by the proper officer on his own motion to apply for revocation within the prescribed period, and requires the proper officer either to revoke the cancellation or to reject the application, the latter only after an opportunity of hearing. Rule 23 prescribes the complete procedure: an application in FORM GST REG-21; revocation by order in FORM GST REG-22 where the officer is satisfied; and, where the officer proposes to reject, a show cause notice in FORM GST REG-23 followed by the applicant’s reply in FORM GST REG-24 and an order. Neither Section 30 nor Rule 23 contains any requirement that the applicant obtain a No Objection Certificate from the Anti-Evasion wing, the DGGI, or any other authority. The conditions and restrictions for revocation are those “as may be prescribed,” and nothing of the kind has been prescribed.</w:t>
      </w:r>
    </w:p>
    <w:p>
      <w:pPr>
        <w:spacing w:after="140" w:line="276"/>
        <w:ind w:left="720"/>
        <w:jc w:val="both"/>
      </w:pPr>
      <w:r>
        <w:rPr>
          <w:rFonts w:ascii="Times New Roman" w:cs="Times New Roman" w:eastAsia="Times New Roman" w:hAnsi="Times New Roman"/>
          <w:b/>
          <w:bCs/>
          <w:i/>
          <w:iCs/>
          <w:sz w:val="24"/>
          <w:szCs w:val="24"/>
        </w:rPr>
        <w:t xml:space="preserve">(c) An authority cannot import a condition the statute does not contain. </w:t>
      </w:r>
      <w:r>
        <w:rPr>
          <w:rFonts w:ascii="Times New Roman" w:cs="Times New Roman" w:eastAsia="Times New Roman" w:hAnsi="Times New Roman"/>
          <w:sz w:val="24"/>
          <w:szCs w:val="24"/>
        </w:rPr>
        <w:t xml:space="preserve">It is a settled principle of administrative law that a statutory authority must act within the four corners of the statute and the rules, and cannot import into a beneficial, time-bound statutory process a pre-condition that the legislature and the rule-making authority have not prescribed. To make revocation contingent upon an NOC nowhere mentioned in Section 30 or Rule 23 is to legislate a new condition by administrative fiat — which is impermissible, arbitrary, and ultra vires the Act and the Rules.</w:t>
      </w:r>
    </w:p>
    <w:p>
      <w:pPr>
        <w:spacing w:after="140" w:line="276"/>
        <w:ind w:left="720"/>
        <w:jc w:val="both"/>
      </w:pPr>
      <w:r>
        <w:rPr>
          <w:rFonts w:ascii="Times New Roman" w:cs="Times New Roman" w:eastAsia="Times New Roman" w:hAnsi="Times New Roman"/>
          <w:b/>
          <w:bCs/>
          <w:i/>
          <w:iCs/>
          <w:sz w:val="24"/>
          <w:szCs w:val="24"/>
        </w:rPr>
        <w:t xml:space="preserve">(d) Authority directly on point. </w:t>
      </w:r>
      <w:r>
        <w:rPr>
          <w:rFonts w:ascii="Times New Roman" w:cs="Times New Roman" w:eastAsia="Times New Roman" w:hAnsi="Times New Roman"/>
          <w:sz w:val="24"/>
          <w:szCs w:val="24"/>
        </w:rPr>
        <w:t xml:space="preserve">The question is concluded in the registered person’s favour by the Hon’ble Delhi High Court in </w:t>
      </w:r>
      <w:r>
        <w:rPr>
          <w:rFonts w:ascii="Times New Roman" w:cs="Times New Roman" w:eastAsia="Times New Roman" w:hAnsi="Times New Roman"/>
          <w:i/>
          <w:iCs/>
          <w:sz w:val="24"/>
          <w:szCs w:val="24"/>
        </w:rPr>
        <w:t xml:space="preserve">M/s Spinns International v. Pr. Commissioner of Goods and Service Tax, North Delhi (West) &amp; Anr.</w:t>
      </w:r>
      <w:r>
        <w:rPr>
          <w:rFonts w:ascii="Times New Roman" w:cs="Times New Roman" w:eastAsia="Times New Roman" w:hAnsi="Times New Roman"/>
          <w:sz w:val="24"/>
          <w:szCs w:val="24"/>
        </w:rPr>
        <w:t xml:space="preserve">, W.P.(C) 1989/2023, order dated 15 February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On materially identical facts — the office there having conveyed that “the cancellation of registration has been directed by Anti-Evasion Head-Quarter” and that “a proper NOC from Anti-Evasion Head-Quarter may be obtained” before the revocation application could be processed — the Hon’ble Court held in terms that there is no statutory provision that requires a taxpayer to seek an NOC from any authority for moving an application for revocation of cancellation of its registration; it further held the underlying cancellation show cause notice to be no show cause notice at all, found the procedure adopted to be flawed, and set aside the cancellation.</w:t>
      </w:r>
    </w:p>
    <w:p>
      <w:pPr>
        <w:spacing w:after="140" w:line="276"/>
        <w:ind w:left="720"/>
        <w:jc w:val="both"/>
      </w:pPr>
      <w:r>
        <w:rPr>
          <w:rFonts w:ascii="Times New Roman" w:cs="Times New Roman" w:eastAsia="Times New Roman" w:hAnsi="Times New Roman"/>
          <w:b/>
          <w:bCs/>
          <w:i/>
          <w:iCs/>
          <w:sz w:val="24"/>
          <w:szCs w:val="24"/>
        </w:rPr>
        <w:t xml:space="preserve">(e) Conclusion. </w:t>
      </w:r>
      <w:r>
        <w:rPr>
          <w:rFonts w:ascii="Times New Roman" w:cs="Times New Roman" w:eastAsia="Times New Roman" w:hAnsi="Times New Roman"/>
          <w:sz w:val="24"/>
          <w:szCs w:val="24"/>
        </w:rPr>
        <w:t xml:space="preserve">The demand for an NOC from the Anti-Evasion wing / DGGI being unknown to Section 30 and Rule 23, it is without authority of law and cannot be made a pre-condition to revocation. The proper officer is respectfully requested to proceed to decide the application on its merits and to revoke the cancellation in FORM GST REG-22.</w:t>
      </w:r>
    </w:p>
    <w:p>
      <w:pPr>
        <w:pStyle w:val="Heading2"/>
        <w:spacing w:after="120" w:before="200"/>
      </w:pPr>
      <w:r>
        <w:rPr>
          <w:rFonts w:ascii="Times New Roman" w:cs="Times New Roman" w:eastAsia="Times New Roman" w:hAnsi="Times New Roman"/>
          <w:b/>
          <w:bCs/>
          <w:sz w:val="24"/>
          <w:szCs w:val="24"/>
        </w:rPr>
        <w:t xml:space="preserve">SUBMISSION 2: ACTING ON AN UNDISCLOSED “NEGATIVE REPORT” OFFENDS NATURAL JUSTICE</w:t>
      </w:r>
    </w:p>
    <w:p>
      <w:pPr>
        <w:spacing w:after="140" w:line="276"/>
        <w:ind w:left="720"/>
        <w:jc w:val="both"/>
      </w:pPr>
      <w:r>
        <w:rPr>
          <w:rFonts w:ascii="Times New Roman" w:cs="Times New Roman" w:eastAsia="Times New Roman" w:hAnsi="Times New Roman"/>
          <w:b/>
          <w:bCs/>
          <w:i/>
          <w:iCs/>
          <w:sz w:val="24"/>
          <w:szCs w:val="24"/>
        </w:rPr>
        <w:t xml:space="preserve">(a) The defect. </w:t>
      </w:r>
      <w:r>
        <w:rPr>
          <w:rFonts w:ascii="Times New Roman" w:cs="Times New Roman" w:eastAsia="Times New Roman" w:hAnsi="Times New Roman"/>
          <w:sz w:val="24"/>
          <w:szCs w:val="24"/>
        </w:rPr>
        <w:t xml:space="preserve">In so far as the demand rests on a “negative report” stated to have been received about the GSTIN from the Anti-Evasion wing / DGGI, neither that report nor its contents, nor any document underlying it, has been furnished or put to the registered person. The registered person is thus asked to suffer an adverse consequence — the withholding of revocation — on the basis of material it has neither seen nor had the opportunity to meet.</w:t>
      </w:r>
    </w:p>
    <w:p>
      <w:pPr>
        <w:spacing w:after="140" w:line="276"/>
        <w:ind w:left="720"/>
        <w:jc w:val="both"/>
      </w:pPr>
      <w:r>
        <w:rPr>
          <w:rFonts w:ascii="Times New Roman" w:cs="Times New Roman" w:eastAsia="Times New Roman" w:hAnsi="Times New Roman"/>
          <w:b/>
          <w:bCs/>
          <w:i/>
          <w:iCs/>
          <w:sz w:val="24"/>
          <w:szCs w:val="24"/>
        </w:rPr>
        <w:t xml:space="preserve">(b) The law and authority. </w:t>
      </w:r>
      <w:r>
        <w:rPr>
          <w:rFonts w:ascii="Times New Roman" w:cs="Times New Roman" w:eastAsia="Times New Roman" w:hAnsi="Times New Roman"/>
          <w:sz w:val="24"/>
          <w:szCs w:val="24"/>
        </w:rPr>
        <w:t xml:space="preserve">It is elementary that an adverse order cannot rest on material withheld from the person affected; the audi alteram partem rule requires that such material be disclosed and an opportunity given to rebut it. In </w:t>
      </w:r>
      <w:r>
        <w:rPr>
          <w:rFonts w:ascii="Times New Roman" w:cs="Times New Roman" w:eastAsia="Times New Roman" w:hAnsi="Times New Roman"/>
          <w:i/>
          <w:iCs/>
          <w:sz w:val="24"/>
          <w:szCs w:val="24"/>
        </w:rPr>
        <w:t xml:space="preserve">Sai Aluminium EXIM v. Pr. Commissioner of Goods and Service Tax, North Delhi</w:t>
      </w:r>
      <w:r>
        <w:rPr>
          <w:rFonts w:ascii="Times New Roman" w:cs="Times New Roman" w:eastAsia="Times New Roman" w:hAnsi="Times New Roman"/>
          <w:sz w:val="24"/>
          <w:szCs w:val="24"/>
        </w:rPr>
        <w:t xml:space="preserve"> (Delhi High Court, Bakhru and Mahajan, JJ.,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Hon’ble Court, dealing precisely with a case where the taxpayer’s name appeared in a list provided by the Anti-Evasion Branch but the relevant documents concerning the taxpayer were not forwarded, held that the order was devoid of proper grounds, set it aside, and directed the matter to be reconsidered after the taxpayer was permitted to place its material.</w:t>
      </w:r>
    </w:p>
    <w:p>
      <w:pPr>
        <w:spacing w:after="140" w:line="276"/>
        <w:ind w:left="720"/>
        <w:jc w:val="both"/>
      </w:pPr>
      <w:r>
        <w:rPr>
          <w:rFonts w:ascii="Times New Roman" w:cs="Times New Roman" w:eastAsia="Times New Roman" w:hAnsi="Times New Roman"/>
          <w:b/>
          <w:bCs/>
          <w:i/>
          <w:iCs/>
          <w:sz w:val="24"/>
          <w:szCs w:val="24"/>
        </w:rPr>
        <w:t xml:space="preserve">(c) Conclusion. </w:t>
      </w:r>
      <w:r>
        <w:rPr>
          <w:rFonts w:ascii="Times New Roman" w:cs="Times New Roman" w:eastAsia="Times New Roman" w:hAnsi="Times New Roman"/>
          <w:sz w:val="24"/>
          <w:szCs w:val="24"/>
        </w:rPr>
        <w:t xml:space="preserve">The undisclosed “negative report” can form no lawful basis for withholding revocation. If the Anti-Evasion wing / DGGI has any material adverse to the registered person, the same ought to be furnished and a hearing afforded; absent that, the revocation cannot be stalled.</w:t>
      </w:r>
    </w:p>
    <w:p>
      <w:pPr>
        <w:pStyle w:val="Heading2"/>
        <w:spacing w:after="120" w:before="200"/>
      </w:pPr>
      <w:r>
        <w:rPr>
          <w:rFonts w:ascii="Times New Roman" w:cs="Times New Roman" w:eastAsia="Times New Roman" w:hAnsi="Times New Roman"/>
          <w:b/>
          <w:bCs/>
          <w:sz w:val="24"/>
          <w:szCs w:val="24"/>
        </w:rPr>
        <w:t xml:space="preserve">SUBMISSION 3 (WITHOUT PREJUDICE): THE STATUTORY TIME-LINE FOR DECIDING THE APPLICATION</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Without prejudice, Rule 23(2) requires the proper officer to dispose of a revocation application within thirty days of its receipt (or, where a notice in FORM GST REG-23 is issued, within thirty days of the reply). The demand for an extra-statutory NOC has had the effect of keeping a time-bound statutory function pending. The registered person respectfully submits that the application ought now to be decided on its merits, and undertakes to furnish all returns and to discharge any admitted tax, interest, late fee and penalty as required by the provisos to Rule 23(1), to the extent applicable.</w:t>
      </w:r>
    </w:p>
    <w:p>
      <w:pPr>
        <w:pStyle w:val="Heading2"/>
        <w:spacing w:after="120" w:before="200"/>
      </w:pPr>
      <w:r>
        <w:rPr>
          <w:rFonts w:ascii="Times New Roman" w:cs="Times New Roman" w:eastAsia="Times New Roman" w:hAnsi="Times New Roman"/>
          <w:b/>
          <w:bCs/>
          <w:sz w:val="24"/>
          <w:szCs w:val="24"/>
        </w:rPr>
        <w:t xml:space="preserve">SUBMISSION 4 (WITHOUT PREJUDICE): THE UNDERLYING CANCELLATION</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Without prejudice to the above, and to the extent the underlying cancellation show cause notice did not disclose intelligible reasons enabling an effective reply, the cancellation itself is vulnerable on the ground of breach of natural justice, as recognised in </w:t>
      </w:r>
      <w:r>
        <w:rPr>
          <w:rFonts w:ascii="Times New Roman" w:cs="Times New Roman" w:eastAsia="Times New Roman" w:hAnsi="Times New Roman"/>
          <w:i/>
          <w:iCs/>
          <w:sz w:val="24"/>
          <w:szCs w:val="24"/>
        </w:rPr>
        <w:t xml:space="preserve">Spinns International</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registered person reserves the right to assail the cancellation order separately; this representation is, however, confined to securing revocation under Section 30 and does not waive any such right.</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In view of the foregoing, the registered person most respectfully prays that the Proper Officer be pleased to:</w:t>
      </w:r>
    </w:p>
    <w:p>
      <w:pPr>
        <w:pStyle w:val="ListParagraph"/>
        <w:numPr>
          <w:ilvl w:val="0"/>
          <w:numId w:val="4"/>
        </w:numPr>
        <w:spacing w:after="120" w:line="276"/>
        <w:jc w:val="both"/>
      </w:pPr>
      <w:r>
        <w:rPr>
          <w:rFonts w:ascii="Times New Roman" w:cs="Times New Roman" w:eastAsia="Times New Roman" w:hAnsi="Times New Roman"/>
          <w:b/>
          <w:bCs/>
          <w:sz w:val="24"/>
          <w:szCs w:val="24"/>
        </w:rPr>
        <w:t xml:space="preserve">REVOKE </w:t>
      </w:r>
      <w:r>
        <w:rPr>
          <w:rFonts w:ascii="Times New Roman" w:cs="Times New Roman" w:eastAsia="Times New Roman" w:hAnsi="Times New Roman"/>
          <w:sz w:val="24"/>
          <w:szCs w:val="24"/>
        </w:rPr>
        <w:t xml:space="preserve">the cancellation of the registration by passing an order in FORM GST REG-22, the application in FORM GST REG-21 (ARN [____]) being complete and in order;</w:t>
      </w:r>
    </w:p>
    <w:p>
      <w:pPr>
        <w:pStyle w:val="ListParagraph"/>
        <w:numPr>
          <w:ilvl w:val="0"/>
          <w:numId w:val="4"/>
        </w:numPr>
        <w:spacing w:after="120" w:line="276"/>
        <w:jc w:val="both"/>
      </w:pPr>
      <w:r>
        <w:rPr>
          <w:rFonts w:ascii="Times New Roman" w:cs="Times New Roman" w:eastAsia="Times New Roman" w:hAnsi="Times New Roman"/>
          <w:b/>
          <w:bCs/>
          <w:sz w:val="24"/>
          <w:szCs w:val="24"/>
        </w:rPr>
        <w:t xml:space="preserve">HOLD </w:t>
      </w:r>
      <w:r>
        <w:rPr>
          <w:rFonts w:ascii="Times New Roman" w:cs="Times New Roman" w:eastAsia="Times New Roman" w:hAnsi="Times New Roman"/>
          <w:sz w:val="24"/>
          <w:szCs w:val="24"/>
        </w:rPr>
        <w:t xml:space="preserve">that the production of a No Objection Certificate from the Anti-Evasion wing / DGGI is not a condition prescribed by Section 30 or Rule 23 and cannot be insisted upon as a pre-condition to revocation;</w:t>
      </w:r>
    </w:p>
    <w:p>
      <w:pPr>
        <w:pStyle w:val="ListParagraph"/>
        <w:numPr>
          <w:ilvl w:val="0"/>
          <w:numId w:val="4"/>
        </w:numPr>
        <w:spacing w:after="120" w:line="276"/>
        <w:jc w:val="both"/>
      </w:pPr>
      <w:r>
        <w:rPr>
          <w:rFonts w:ascii="Times New Roman" w:cs="Times New Roman" w:eastAsia="Times New Roman" w:hAnsi="Times New Roman"/>
          <w:b/>
          <w:bCs/>
          <w:sz w:val="24"/>
          <w:szCs w:val="24"/>
        </w:rPr>
        <w:t xml:space="preserve">DISCLOSE </w:t>
      </w:r>
      <w:r>
        <w:rPr>
          <w:rFonts w:ascii="Times New Roman" w:cs="Times New Roman" w:eastAsia="Times New Roman" w:hAnsi="Times New Roman"/>
          <w:sz w:val="24"/>
          <w:szCs w:val="24"/>
        </w:rPr>
        <w:t xml:space="preserve">to the registered person any “negative report” or material relied upon, and afford an opportunity of hearing, before any order adverse to the registered person is passed;</w:t>
      </w:r>
    </w:p>
    <w:p>
      <w:pPr>
        <w:pStyle w:val="ListParagraph"/>
        <w:numPr>
          <w:ilvl w:val="0"/>
          <w:numId w:val="4"/>
        </w:numPr>
        <w:spacing w:after="120" w:line="276"/>
        <w:jc w:val="both"/>
      </w:pPr>
      <w:r>
        <w:rPr>
          <w:rFonts w:ascii="Times New Roman" w:cs="Times New Roman" w:eastAsia="Times New Roman" w:hAnsi="Times New Roman"/>
          <w:b/>
          <w:bCs/>
          <w:sz w:val="24"/>
          <w:szCs w:val="24"/>
        </w:rPr>
        <w:t xml:space="preserve">GRANT </w:t>
      </w:r>
      <w:r>
        <w:rPr>
          <w:rFonts w:ascii="Times New Roman" w:cs="Times New Roman" w:eastAsia="Times New Roman" w:hAnsi="Times New Roman"/>
          <w:sz w:val="24"/>
          <w:szCs w:val="24"/>
        </w:rPr>
        <w:t xml:space="preserve">a personal hearing through the Authorised Representative before passing any order rejecting the application; and</w:t>
      </w:r>
    </w:p>
    <w:p>
      <w:pPr>
        <w:pStyle w:val="ListParagraph"/>
        <w:numPr>
          <w:ilvl w:val="0"/>
          <w:numId w:val="4"/>
        </w:numPr>
        <w:spacing w:after="120" w:line="276"/>
        <w:jc w:val="both"/>
      </w:pPr>
      <w:r>
        <w:rPr>
          <w:rFonts w:ascii="Times New Roman" w:cs="Times New Roman" w:eastAsia="Times New Roman" w:hAnsi="Times New Roman"/>
          <w:b/>
          <w:bCs/>
          <w:sz w:val="24"/>
          <w:szCs w:val="24"/>
        </w:rPr>
        <w:t xml:space="preserve">PASS </w:t>
      </w:r>
      <w:r>
        <w:rPr>
          <w:rFonts w:ascii="Times New Roman" w:cs="Times New Roman" w:eastAsia="Times New Roman" w:hAnsi="Times New Roman"/>
          <w:sz w:val="24"/>
          <w:szCs w:val="24"/>
        </w:rPr>
        <w:t xml:space="preserve">such further or other order as may be just and proper.</w:t>
      </w:r>
    </w:p>
    <w:p>
      <w:pPr>
        <w:pStyle w:val="Heading1"/>
        <w:spacing w:after="140" w:before="280"/>
      </w:pPr>
      <w:r>
        <w:rPr>
          <w:rFonts w:ascii="Times New Roman" w:cs="Times New Roman" w:eastAsia="Times New Roman" w:hAnsi="Times New Roman"/>
          <w:b/>
          <w:bCs/>
          <w:sz w:val="26"/>
          <w:szCs w:val="26"/>
        </w:rPr>
        <w:t xml:space="preserve">AUTHORITIES AND PROVISIONS RELIED UPON</w:t>
      </w:r>
    </w:p>
    <w:p>
      <w:pPr>
        <w:pStyle w:val="ListParagraph"/>
        <w:numPr>
          <w:ilvl w:val="0"/>
          <w:numId w:val="4"/>
        </w:numPr>
        <w:spacing w:after="120" w:line="276"/>
        <w:jc w:val="both"/>
      </w:pPr>
      <w:r>
        <w:rPr>
          <w:rFonts w:ascii="Times New Roman" w:cs="Times New Roman" w:eastAsia="Times New Roman" w:hAnsi="Times New Roman"/>
          <w:sz w:val="24"/>
          <w:szCs w:val="24"/>
        </w:rPr>
        <w:t xml:space="preserve">Section 30 of the CGST/SGST Act, 2017 (revocation of cancellation of registration); Rule 23 of the CGST Rules, 2017 (FORM GST REG-21, REG-22, REG-23 and REG-24). The period for applying for revocation stands extended to ninety days by amendment with effect from 1 October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w:t>
      </w:r>
    </w:p>
    <w:p>
      <w:pPr>
        <w:pStyle w:val="ListParagraph"/>
        <w:numPr>
          <w:ilvl w:val="0"/>
          <w:numId w:val="4"/>
        </w:numPr>
        <w:spacing w:after="120" w:line="276"/>
        <w:jc w:val="both"/>
      </w:pPr>
      <w:r>
        <w:rPr>
          <w:rFonts w:ascii="Times New Roman" w:cs="Times New Roman" w:eastAsia="Times New Roman" w:hAnsi="Times New Roman"/>
          <w:i/>
          <w:iCs/>
          <w:sz w:val="24"/>
          <w:szCs w:val="24"/>
        </w:rPr>
        <w:t xml:space="preserve">M/s Spinns International v. Pr. Commissioner of GST, North Delhi (West) &amp; Anr.</w:t>
      </w:r>
      <w:r>
        <w:rPr>
          <w:rFonts w:ascii="Times New Roman" w:cs="Times New Roman" w:eastAsia="Times New Roman" w:hAnsi="Times New Roman"/>
          <w:sz w:val="24"/>
          <w:szCs w:val="24"/>
        </w:rPr>
        <w:t xml:space="preserve">, Delhi High Court, W.P.(C) 1989/2023, dated 15.02.2023 — no statutory requirement of NOC from any authority for revocation; flawed cancellation SCN set aside.</w:t>
      </w:r>
      <w:r>
        <w:rPr>
          <w:rFonts w:ascii="Times New Roman" w:cs="Times New Roman" w:eastAsia="Times New Roman" w:hAnsi="Times New Roman"/>
          <w:b/>
          <w:bCs/>
          <w:sz w:val="24"/>
          <w:szCs w:val="24"/>
        </w:rPr>
        <w:t xml:space="preserve"> [VERIFY]</w:t>
      </w:r>
    </w:p>
    <w:p>
      <w:pPr>
        <w:pStyle w:val="ListParagraph"/>
        <w:numPr>
          <w:ilvl w:val="0"/>
          <w:numId w:val="4"/>
        </w:numPr>
        <w:spacing w:after="120" w:line="276"/>
        <w:jc w:val="both"/>
      </w:pPr>
      <w:r>
        <w:rPr>
          <w:rFonts w:ascii="Times New Roman" w:cs="Times New Roman" w:eastAsia="Times New Roman" w:hAnsi="Times New Roman"/>
          <w:i/>
          <w:iCs/>
          <w:sz w:val="24"/>
          <w:szCs w:val="24"/>
        </w:rPr>
        <w:t xml:space="preserve">Sai Aluminium EXIM v. Pr. Commissioner of GST, North Delhi</w:t>
      </w:r>
      <w:r>
        <w:rPr>
          <w:rFonts w:ascii="Times New Roman" w:cs="Times New Roman" w:eastAsia="Times New Roman" w:hAnsi="Times New Roman"/>
          <w:sz w:val="24"/>
          <w:szCs w:val="24"/>
        </w:rPr>
        <w:t xml:space="preserve">, Delhi High Court (Bakhru and Mahajan, JJ.), 2023 — inclusion in an Anti-Evasion list without furnishing the underlying documents cannot sustain the order; revocation/amendment rejection set aside and remanded.</w:t>
      </w:r>
      <w:r>
        <w:rPr>
          <w:rFonts w:ascii="Times New Roman" w:cs="Times New Roman" w:eastAsia="Times New Roman" w:hAnsi="Times New Roman"/>
          <w:b/>
          <w:bCs/>
          <w:sz w:val="24"/>
          <w:szCs w:val="24"/>
        </w:rPr>
        <w:t xml:space="preserve"> [VERIFY]</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2026-06-07T04:04:47.368Z</dcterms:created>
  <dcterms:modified xsi:type="dcterms:W3CDTF">2026-06-07T04:04:47.368Z</dcterms:modified>
</cp:coreProperties>
</file>

<file path=docProps/custom.xml><?xml version="1.0" encoding="utf-8"?>
<Properties xmlns="http://schemas.openxmlformats.org/officeDocument/2006/custom-properties" xmlns:vt="http://schemas.openxmlformats.org/officeDocument/2006/docPropsVTypes"/>
</file>