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in the matter of the credit note issued under Section 34 of the CGST/SGST Act, 2017 and the consequent reduction of output tax liability — alleged irregular reversal of input tax credit.</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The party is recorded as M/s Noticedesk Technologies Private Limited and the place of execution as Mumbai; the addressee jurisdiction (originally Rajasthan) is to be reconciled before filing. Section 43 (matching) was omitted with effect from 1 October 2022; the reply therefore rests on Sections 34 and 15(3), and Section 43 is not relied upon (see Flag).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registered person made an outward supply of taxable value Rs. 100 with GST of Rs. 18 to M/s ABCC Ltd. On a subsequent return of goods / rate difference, a credit note was issued under Section 34 of the Act and duly declared in the returns within the time permitted. The reduction of output tax liability is therefore in order, and any allegation of irregular reversal is misconceived. The registered person sets out the compliance below and prays that no demand be raised.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supplied goods to M/s ABCC Ltd vide tax invoice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of taxable value Rs. 100 and GST of Rs. 18, the goods having moved under e-way bill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lorry receipt (No.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Subsequently, on return of the goods / a rate difference coming to notice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 credit note was issued under Section 34 of the Act (value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GST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The original invoice was reported in the GSTR-1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and the credit note was declared in the GSTR-1 and GSTR-3B for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filed on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Heading1"/>
        <w:spacing w:after="140" w:before="280"/>
      </w:pPr>
      <w:r>
        <w:rPr>
          <w:rFonts w:ascii="Times New Roman" w:cs="Times New Roman" w:eastAsia="Times New Roman" w:hAnsi="Times New Roman"/>
          <w:b/>
          <w:bCs/>
          <w:sz w:val="26"/>
          <w:szCs w:val="26"/>
        </w:rPr>
        <w:t xml:space="preserve">SUBMISSIONS</w:t>
      </w:r>
    </w:p>
    <w:p>
      <w:pPr>
        <w:pStyle w:val="Heading2"/>
        <w:spacing w:after="120" w:before="200"/>
      </w:pPr>
      <w:r>
        <w:rPr>
          <w:rFonts w:ascii="Times New Roman" w:cs="Times New Roman" w:eastAsia="Times New Roman" w:hAnsi="Times New Roman"/>
          <w:b/>
          <w:bCs/>
          <w:sz w:val="24"/>
          <w:szCs w:val="24"/>
        </w:rPr>
        <w:t xml:space="preserve">SUBMISSION 1: THE CREDIT NOTE AND THE REDUCTION OF OUTPUT TAX LIABILITY ARE IN ACCORDANCE WITH SECTION 34</w:t>
      </w:r>
    </w:p>
    <w:p>
      <w:pPr>
        <w:spacing w:after="140" w:line="276"/>
        <w:ind w:left="720"/>
        <w:jc w:val="both"/>
      </w:pPr>
      <w:r>
        <w:rPr>
          <w:rFonts w:ascii="Times New Roman" w:cs="Times New Roman" w:eastAsia="Times New Roman" w:hAnsi="Times New Roman"/>
          <w:b/>
          <w:bCs/>
          <w:i/>
          <w:iCs/>
          <w:sz w:val="24"/>
          <w:szCs w:val="24"/>
        </w:rPr>
        <w:t xml:space="preserve">(a) The governing law. </w:t>
      </w:r>
      <w:r>
        <w:rPr>
          <w:rFonts w:ascii="Times New Roman" w:cs="Times New Roman" w:eastAsia="Times New Roman" w:hAnsi="Times New Roman"/>
          <w:sz w:val="24"/>
          <w:szCs w:val="24"/>
        </w:rPr>
        <w:t xml:space="preserve">Section 34(1) permits a supplier to issue a credit note where the goods supplied are returned or where the taxable value or tax charged exceeds that payable. Section 34(2) requires the credit note to be declared in the return for the month of issue, but not later than the thirtieth day of November following the end of the financial year of the supply, or the date of the annual return, whichever is earlier; the tax liability is then adjusted accordingly. The proviso bars reduction only where the incidence of tax and interest has been passed on to another person.</w:t>
      </w:r>
    </w:p>
    <w:p>
      <w:pPr>
        <w:spacing w:after="140" w:line="276"/>
        <w:ind w:left="720"/>
        <w:jc w:val="both"/>
      </w:pPr>
      <w:r>
        <w:rPr>
          <w:rFonts w:ascii="Times New Roman" w:cs="Times New Roman" w:eastAsia="Times New Roman" w:hAnsi="Times New Roman"/>
          <w:b/>
          <w:bCs/>
          <w:i/>
          <w:iCs/>
          <w:sz w:val="24"/>
          <w:szCs w:val="24"/>
        </w:rPr>
        <w:t xml:space="preserve">(b) Application to the facts. </w:t>
      </w:r>
      <w:r>
        <w:rPr>
          <w:rFonts w:ascii="Times New Roman" w:cs="Times New Roman" w:eastAsia="Times New Roman" w:hAnsi="Times New Roman"/>
          <w:sz w:val="24"/>
          <w:szCs w:val="24"/>
        </w:rPr>
        <w:t xml:space="preserve">The credit note was issued under Section 34 on a genuine return of goods / rate difference, and was declared in the return within the time prescribed by Section 34(2). The incidence of tax has not been passed on so as to attract the proviso; the corresponding adjustment of output tax liability is therefore permissible.</w:t>
      </w:r>
    </w:p>
    <w:p>
      <w:pPr>
        <w:spacing w:after="140" w:line="276"/>
        <w:ind w:left="720"/>
        <w:jc w:val="both"/>
      </w:pPr>
      <w:r>
        <w:rPr>
          <w:rFonts w:ascii="Times New Roman" w:cs="Times New Roman" w:eastAsia="Times New Roman" w:hAnsi="Times New Roman"/>
          <w:b/>
          <w:bCs/>
          <w:i/>
          <w:iCs/>
          <w:sz w:val="24"/>
          <w:szCs w:val="24"/>
        </w:rPr>
        <w:t xml:space="preserve">(c) Value exclusion under Section 15(3). </w:t>
      </w:r>
      <w:r>
        <w:rPr>
          <w:rFonts w:ascii="Times New Roman" w:cs="Times New Roman" w:eastAsia="Times New Roman" w:hAnsi="Times New Roman"/>
          <w:sz w:val="24"/>
          <w:szCs w:val="24"/>
        </w:rPr>
        <w:t xml:space="preserve">To the extent the credit note represents a post-supply discount, Section 15(3) excludes such discount from the value of supply where it is established in terms of a prior agreement linked to the relevant invoices and the recipient has reversed the input tax credit attributable to it. The registered person is willing to place on record the agreement and the recipient’s reversal where the discount route applies.</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The reduction of output tax liability being compliant with Sections 34 and 15(3), no demand is sustainable. It is prayed that the proceedings be dropped.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respectfully prayed that the Proper Officer be pleased to accept this reply, to hold the credit note and the reduction of output tax liability to be in accordance with Sections 34 and 15(3), and to drop the proceedings; and to grant a personal hearing before passing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2026-06-13T08:13:08.481Z</dcterms:created>
  <dcterms:modified xsi:type="dcterms:W3CDTF">2026-06-13T08:13:08.481Z</dcterms:modified>
</cp:coreProperties>
</file>

<file path=docProps/custom.xml><?xml version="1.0" encoding="utf-8"?>
<Properties xmlns="http://schemas.openxmlformats.org/officeDocument/2006/custom-properties" xmlns:vt="http://schemas.openxmlformats.org/officeDocument/2006/docPropsVTypes"/>
</file>