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issued under Section 74 of the CGST/SGST Act, 2017 — objection that Section 74 has been wrongly invoked, and prematurely, before the due date of the annual return.</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has been issued under Section 74, which presupposes fraud, wilful misstatement or suppression of facts to evade tax. No such ingredient exists. Further, until the due date of the annual return for the relevant financial year, the registered person retains the statutory facility to correct the particulars of its returns; an allegation of suppression founded on figures that the law still permits to be reconciled cannot stand. The matter, if at all, lies under Section 73 and not Section 74.</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received a show cause notice in FORM GST DRC-01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issued under Section 74, proposing tax, interest and penalty on the allegation </w:t>
      </w:r>
      <w:r>
        <w:rPr>
          <w:rFonts w:ascii="Times New Roman" w:cs="Times New Roman" w:eastAsia="Times New Roman" w:hAnsi="Times New Roman"/>
          <w:b/>
          <w:bCs/>
          <w:sz w:val="24"/>
          <w:szCs w:val="24"/>
        </w:rPr>
        <w:t xml:space="preserve">[as set out in the SCN]</w:t>
      </w:r>
      <w:r>
        <w:rPr>
          <w:rFonts w:ascii="Times New Roman" w:cs="Times New Roman" w:eastAsia="Times New Roman" w:hAnsi="Times New Roman"/>
          <w:sz w:val="24"/>
          <w:szCs w:val="24"/>
        </w:rPr>
        <w:t xml:space="preserve">.</w:t>
      </w:r>
    </w:p>
    <w:p>
      <w:pPr>
        <w:pStyle w:val="Heading1"/>
        <w:spacing w:after="140" w:before="280"/>
      </w:pPr>
      <w:r>
        <w:rPr>
          <w:rFonts w:ascii="Times New Roman" w:cs="Times New Roman" w:eastAsia="Times New Roman" w:hAnsi="Times New Roman"/>
          <w:b/>
          <w:bCs/>
          <w:sz w:val="26"/>
          <w:szCs w:val="26"/>
        </w:rPr>
        <w:t xml:space="preserve">SUBMISSIONS</w:t>
      </w:r>
    </w:p>
    <w:p>
      <w:pPr>
        <w:pStyle w:val="Heading2"/>
        <w:spacing w:after="120" w:before="200"/>
      </w:pPr>
      <w:r>
        <w:rPr>
          <w:rFonts w:ascii="Times New Roman" w:cs="Times New Roman" w:eastAsia="Times New Roman" w:hAnsi="Times New Roman"/>
          <w:b/>
          <w:bCs/>
          <w:sz w:val="24"/>
          <w:szCs w:val="24"/>
        </w:rPr>
        <w:t xml:space="preserve">SUBMISSION 1: SECTION 74 IS WITHOUT JURISDICTION ABSENT FRAUD, WILFUL MISSTATEMENT OR SUPPRESSION</w:t>
      </w:r>
    </w:p>
    <w:p>
      <w:pPr>
        <w:spacing w:after="140" w:line="276"/>
        <w:ind w:left="720"/>
        <w:jc w:val="both"/>
      </w:pPr>
      <w:r>
        <w:rPr>
          <w:rFonts w:ascii="Times New Roman" w:cs="Times New Roman" w:eastAsia="Times New Roman" w:hAnsi="Times New Roman"/>
          <w:b/>
          <w:bCs/>
          <w:i/>
          <w:iCs/>
          <w:sz w:val="24"/>
          <w:szCs w:val="24"/>
        </w:rPr>
        <w:t xml:space="preserve">(a) The threshold. </w:t>
      </w:r>
      <w:r>
        <w:rPr>
          <w:rFonts w:ascii="Times New Roman" w:cs="Times New Roman" w:eastAsia="Times New Roman" w:hAnsi="Times New Roman"/>
          <w:sz w:val="24"/>
          <w:szCs w:val="24"/>
        </w:rPr>
        <w:t xml:space="preserve">Section 74 can be invoked only where tax is unpaid or short-paid, or credit wrongly availed or utilised, “by reason of fraud, or any wilful misstatement or suppression of facts to evade tax.” Absent a positive finding, on cogent material, of one of these ingredients with intent to evade, the section cannot be pressed into service.</w:t>
      </w:r>
    </w:p>
    <w:p>
      <w:pPr>
        <w:spacing w:after="140" w:line="276"/>
        <w:ind w:left="720"/>
        <w:jc w:val="both"/>
      </w:pPr>
      <w:r>
        <w:rPr>
          <w:rFonts w:ascii="Times New Roman" w:cs="Times New Roman" w:eastAsia="Times New Roman" w:hAnsi="Times New Roman"/>
          <w:b/>
          <w:bCs/>
          <w:i/>
          <w:iCs/>
          <w:sz w:val="24"/>
          <w:szCs w:val="24"/>
        </w:rPr>
        <w:t xml:space="preserve">(b) Application. </w:t>
      </w:r>
      <w:r>
        <w:rPr>
          <w:rFonts w:ascii="Times New Roman" w:cs="Times New Roman" w:eastAsia="Times New Roman" w:hAnsi="Times New Roman"/>
          <w:sz w:val="24"/>
          <w:szCs w:val="24"/>
        </w:rPr>
        <w:t xml:space="preserve">The registered person disclosed its supplies and credit in its periodic returns; nothing was concealed. The notice records no material establishing fraud, wilful misstatement or suppression with intent to evade, and on the facts none exists.</w:t>
      </w:r>
    </w:p>
    <w:p>
      <w:pPr>
        <w:pStyle w:val="Heading2"/>
        <w:spacing w:after="120" w:before="200"/>
      </w:pPr>
      <w:r>
        <w:rPr>
          <w:rFonts w:ascii="Times New Roman" w:cs="Times New Roman" w:eastAsia="Times New Roman" w:hAnsi="Times New Roman"/>
          <w:b/>
          <w:bCs/>
          <w:sz w:val="24"/>
          <w:szCs w:val="24"/>
        </w:rPr>
        <w:t xml:space="preserve">SUBMISSION 2: THE NOTICE IS PREMATURE — NO SUPPRESSION BEFORE THE DUE DATE OF THE ANNUAL RETURN</w:t>
      </w:r>
    </w:p>
    <w:p>
      <w:pPr>
        <w:spacing w:after="140" w:line="276"/>
        <w:ind w:left="720"/>
        <w:jc w:val="both"/>
      </w:pPr>
      <w:r>
        <w:rPr>
          <w:rFonts w:ascii="Times New Roman" w:cs="Times New Roman" w:eastAsia="Times New Roman" w:hAnsi="Times New Roman"/>
          <w:b/>
          <w:bCs/>
          <w:i/>
          <w:iCs/>
          <w:sz w:val="24"/>
          <w:szCs w:val="24"/>
        </w:rPr>
        <w:t xml:space="preserve">(a) The principle. </w:t>
      </w:r>
      <w:r>
        <w:rPr>
          <w:rFonts w:ascii="Times New Roman" w:cs="Times New Roman" w:eastAsia="Times New Roman" w:hAnsi="Times New Roman"/>
          <w:sz w:val="24"/>
          <w:szCs w:val="24"/>
        </w:rPr>
        <w:t xml:space="preserve">Until the due date for furnishing the annual return for the financial year, a registered person is entitled to reconcile and correct the particulars of its returns. Figures that the statute still permits to be corrected cannot be characterised as “suppressed,” and an assessment founded on such characterisation, before that date, is unsustainable.</w:t>
      </w:r>
    </w:p>
    <w:p>
      <w:pPr>
        <w:spacing w:after="140" w:line="276"/>
        <w:ind w:left="720"/>
        <w:jc w:val="both"/>
      </w:pPr>
      <w:r>
        <w:rPr>
          <w:rFonts w:ascii="Times New Roman" w:cs="Times New Roman" w:eastAsia="Times New Roman" w:hAnsi="Times New Roman"/>
          <w:b/>
          <w:bCs/>
          <w:i/>
          <w:iCs/>
          <w:sz w:val="24"/>
          <w:szCs w:val="24"/>
        </w:rPr>
        <w:t xml:space="preserve">(b) Authorities. </w:t>
      </w:r>
      <w:r>
        <w:rPr>
          <w:rFonts w:ascii="Times New Roman" w:cs="Times New Roman" w:eastAsia="Times New Roman" w:hAnsi="Times New Roman"/>
          <w:sz w:val="24"/>
          <w:szCs w:val="24"/>
        </w:rPr>
        <w:t xml:space="preserve">In </w:t>
      </w:r>
      <w:r>
        <w:rPr>
          <w:rFonts w:ascii="Times New Roman" w:cs="Times New Roman" w:eastAsia="Times New Roman" w:hAnsi="Times New Roman"/>
          <w:i/>
          <w:iCs/>
          <w:sz w:val="24"/>
          <w:szCs w:val="24"/>
        </w:rPr>
        <w:t xml:space="preserve">M/s Suvarna Fibrotech Pvt. Ltd. v. Assistant Commissioner</w:t>
      </w:r>
      <w:r>
        <w:rPr>
          <w:rFonts w:ascii="Times New Roman" w:cs="Times New Roman" w:eastAsia="Times New Roman" w:hAnsi="Times New Roman"/>
          <w:sz w:val="24"/>
          <w:szCs w:val="24"/>
        </w:rPr>
        <w:t xml:space="preserve">, Madras High Court, W.P. No. 34680 of 2022, dated 2 January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Court, noting that the registered person had time to reconcile its annual return, held that the conduct “may not really qualify as suppression” for Section 74, while observing that the rigour of Section 73 remained available. Similarly, in </w:t>
      </w:r>
      <w:r>
        <w:rPr>
          <w:rFonts w:ascii="Times New Roman" w:cs="Times New Roman" w:eastAsia="Times New Roman" w:hAnsi="Times New Roman"/>
          <w:i/>
          <w:iCs/>
          <w:sz w:val="24"/>
          <w:szCs w:val="24"/>
        </w:rPr>
        <w:t xml:space="preserve">Sri Jahar Sur Chowdhury v. State of Tripura</w:t>
      </w:r>
      <w:r>
        <w:rPr>
          <w:rFonts w:ascii="Times New Roman" w:cs="Times New Roman" w:eastAsia="Times New Roman" w:hAnsi="Times New Roman"/>
          <w:sz w:val="24"/>
          <w:szCs w:val="24"/>
        </w:rPr>
        <w:t xml:space="preserve">, Tripura High Court, W.P.(C) 507 of 2022, dated 4 April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Court held that before the filing of the annual return no assessment could be made under Section 74, and set aside the order and the penalty imposed thereunder.</w:t>
      </w:r>
    </w:p>
    <w:p>
      <w:pPr>
        <w:spacing w:after="140" w:line="276"/>
        <w:ind w:left="720"/>
        <w:jc w:val="both"/>
      </w:pPr>
      <w:r>
        <w:rPr>
          <w:rFonts w:ascii="Times New Roman" w:cs="Times New Roman" w:eastAsia="Times New Roman" w:hAnsi="Times New Roman"/>
          <w:b/>
          <w:bCs/>
          <w:i/>
          <w:iCs/>
          <w:sz w:val="24"/>
          <w:szCs w:val="24"/>
        </w:rPr>
        <w:t xml:space="preserve">(c) Conclusion. </w:t>
      </w:r>
      <w:r>
        <w:rPr>
          <w:rFonts w:ascii="Times New Roman" w:cs="Times New Roman" w:eastAsia="Times New Roman" w:hAnsi="Times New Roman"/>
          <w:sz w:val="24"/>
          <w:szCs w:val="24"/>
        </w:rPr>
        <w:t xml:space="preserve">The invocation of Section 74 being both unfounded and premature, the notice ought to be dropped; at the highest, the matter is one under Section 73, with the consequences (including limitation and penalty) that attend that section.</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under Section 74 be dropped as without jurisdiction and premature; that it be held, if at all, that the matter falls under Section 73; and that a personal hearing be granted before any order is passed.</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2026-06-13T08:13:08.750Z</dcterms:created>
  <dcterms:modified xsi:type="dcterms:W3CDTF">2026-06-13T08:13:08.750Z</dcterms:modified>
</cp:coreProperties>
</file>

<file path=docProps/custom.xml><?xml version="1.0" encoding="utf-8"?>
<Properties xmlns="http://schemas.openxmlformats.org/officeDocument/2006/custom-properties" xmlns:vt="http://schemas.openxmlformats.org/officeDocument/2006/docPropsVTypes"/>
</file>