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withdrawal of the best-judgment assessment order passed under Section 62 of the CGST/SGST Act, 2017, the valid return having been furnished with interest and late fee.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The source record contains an inconsistency between the tax period stated in the narrative (January 2021) and the dates in the compliance table (relating to March 2021); the period and dates must be reconciled against the record before filing (see Flag).</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A best-judgment assessment order was passed under Section 62 for non-furnishing of a return. The registered person has since furnished the valid return together with interest and late fee. Under Section 62(2), the furnishing of a valid return within thirty days of service of the order results in the order being deemed to have been withdrawn; and, in any event, the CBIC’s amnesty under Notification No. 06/2023-Central Tax extends that benefit to orders passed on or before 28 February 2023 where the return is furnished by 30 June 2023 with interest and late fee. The order is accordingly liable to be treated as withdrawn.</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did not furnish the return for the tax period </w:t>
      </w:r>
      <w:r>
        <w:rPr>
          <w:rFonts w:ascii="Times New Roman" w:cs="Times New Roman" w:eastAsia="Times New Roman" w:hAnsi="Times New Roman"/>
          <w:b/>
          <w:bCs/>
          <w:sz w:val="24"/>
          <w:szCs w:val="24"/>
        </w:rPr>
        <w:t xml:space="preserve">[January 2021 / as per record]</w:t>
      </w:r>
      <w:r>
        <w:rPr>
          <w:rFonts w:ascii="Times New Roman" w:cs="Times New Roman" w:eastAsia="Times New Roman" w:hAnsi="Times New Roman"/>
          <w:sz w:val="24"/>
          <w:szCs w:val="24"/>
        </w:rPr>
        <w:t xml:space="preserve"> by the due date. A notice under Section 46 having issued, the Proper Officer passed a best-judgment assessment order under Section 62 dated </w:t>
      </w:r>
      <w:r>
        <w:rPr>
          <w:rFonts w:ascii="Times New Roman" w:cs="Times New Roman" w:eastAsia="Times New Roman" w:hAnsi="Times New Roman"/>
          <w:b/>
          <w:bCs/>
          <w:sz w:val="24"/>
          <w:szCs w:val="24"/>
        </w:rPr>
        <w:t xml:space="preserve">[28 April 2021 / as per record]</w:t>
      </w:r>
      <w:r>
        <w:rPr>
          <w:rFonts w:ascii="Times New Roman" w:cs="Times New Roman" w:eastAsia="Times New Roman" w:hAnsi="Times New Roman"/>
          <w:sz w:val="24"/>
          <w:szCs w:val="24"/>
        </w:rPr>
        <w:t xml:space="preserve">, determining the liability.</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thereafter furnished the valid return on </w:t>
      </w:r>
      <w:r>
        <w:rPr>
          <w:rFonts w:ascii="Times New Roman" w:cs="Times New Roman" w:eastAsia="Times New Roman" w:hAnsi="Times New Roman"/>
          <w:b/>
          <w:bCs/>
          <w:sz w:val="24"/>
          <w:szCs w:val="24"/>
        </w:rPr>
        <w:t xml:space="preserve">[18 May 2021 / as per record]</w:t>
      </w:r>
      <w:r>
        <w:rPr>
          <w:rFonts w:ascii="Times New Roman" w:cs="Times New Roman" w:eastAsia="Times New Roman" w:hAnsi="Times New Roman"/>
          <w:sz w:val="24"/>
          <w:szCs w:val="24"/>
        </w:rPr>
        <w:t xml:space="preserve">, together with late fee under Section 47 and interest under Section 50, the interest having been discharged through FORM GST DRC-03 (a calculation sheet is enclosed).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Under Section 62(2), where the registered person furnishes a valid return within thirty days of service of the assessment order, the said order “shall be deemed to have been withdrawn,” though the liability to interest under Section 50 and late fee under Section 47 continues. The registered person having furnished the return and discharged interest and late fee, the order is liable to be treated as withdrawn to the extent the return was filed within the thirty-day window.</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Without prejudice, and in any event, the CBIC by Notification No. 06/2023-Central Tax dated 31 March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provided that, for best-judgment assessment orders under Section 62(1) passed on or before 28 February 2023, the order shall be deemed to have been withdrawn if the registered person furnishes the return on or before 30 June 2023 accompanied by payment of interest under Section 50 and late fee under Section 47, irrespective of whether an appeal had been filed or decided. The registered person’s case falls within this beneficial scheme, having furnished the return with interest and late fee.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Proper Officer be pleased to treat the assessment order under Section 62 as withdrawn in terms of Section 62(2) read with Notification No. 06/2023-Central Tax, the valid return having been furnished with interest and late fee, and to issue the consequential intimation; and to grant a hearing before any contrary view is taken.</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2026-06-13T08:13:08.773Z</dcterms:created>
  <dcterms:modified xsi:type="dcterms:W3CDTF">2026-06-13T08:13:08.773Z</dcterms:modified>
</cp:coreProperties>
</file>

<file path=docProps/custom.xml><?xml version="1.0" encoding="utf-8"?>
<Properties xmlns="http://schemas.openxmlformats.org/officeDocument/2006/custom-properties" xmlns:vt="http://schemas.openxmlformats.org/officeDocument/2006/docPropsVTypes"/>
</file>