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notice (FORM GST ASMT-10 / DRC-01) alleging non-payment of GST on the sale of personal-use assets — such sale not being a “supply” in the course or furtherance of business.</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The reference to the CBIC FAQ is to a clarificatory FAQ and not to a binding circular or notification (see Flag).</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alleges that the registered person sold certain items (gold / electronic item / car) and did not pay GST on those sales. The items were the registered person’s personal assets, not business assets, and their sale was not made in the course or furtherance of business. As GST is levied only on a “supply” made in the course or furtherance of business, the sale of personal assets falls outside the charge and no GST is payable.</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received a notice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alleging that the sale of </w:t>
      </w:r>
      <w:r>
        <w:rPr>
          <w:rFonts w:ascii="Times New Roman" w:cs="Times New Roman" w:eastAsia="Times New Roman" w:hAnsi="Times New Roman"/>
          <w:b/>
          <w:bCs/>
          <w:sz w:val="24"/>
          <w:szCs w:val="24"/>
        </w:rPr>
        <w:t xml:space="preserve">[gold / electronic item / car]</w:t>
      </w:r>
      <w:r>
        <w:rPr>
          <w:rFonts w:ascii="Times New Roman" w:cs="Times New Roman" w:eastAsia="Times New Roman" w:hAnsi="Times New Roman"/>
          <w:sz w:val="24"/>
          <w:szCs w:val="24"/>
        </w:rPr>
        <w:t xml:space="preserve"> was not reported and that GST was not paid thereon. The asset sold was held by the proprietor / the company for personal use and not as a business asset; no input tax credit was availed at the time of its acquisition.</w:t>
      </w:r>
    </w:p>
    <w:p>
      <w:pPr>
        <w:pStyle w:val="Heading1"/>
        <w:spacing w:after="140" w:before="280"/>
      </w:pPr>
      <w:r>
        <w:rPr>
          <w:rFonts w:ascii="Times New Roman" w:cs="Times New Roman" w:eastAsia="Times New Roman" w:hAnsi="Times New Roman"/>
          <w:b/>
          <w:bCs/>
          <w:sz w:val="26"/>
          <w:szCs w:val="26"/>
        </w:rPr>
        <w:t xml:space="preserve">SUBMISSIONS</w:t>
      </w:r>
    </w:p>
    <w:p>
      <w:pPr>
        <w:pStyle w:val="Heading2"/>
        <w:spacing w:after="120" w:before="200"/>
      </w:pPr>
      <w:r>
        <w:rPr>
          <w:rFonts w:ascii="Times New Roman" w:cs="Times New Roman" w:eastAsia="Times New Roman" w:hAnsi="Times New Roman"/>
          <w:b/>
          <w:bCs/>
          <w:sz w:val="24"/>
          <w:szCs w:val="24"/>
        </w:rPr>
        <w:t xml:space="preserve">SUBMISSION 1: THE SALE OF A PERSONAL-USE ASSET IS NOT A “SUPPLY”</w:t>
      </w:r>
    </w:p>
    <w:p>
      <w:pPr>
        <w:spacing w:after="140" w:line="276"/>
        <w:ind w:left="720"/>
        <w:jc w:val="both"/>
      </w:pPr>
      <w:r>
        <w:rPr>
          <w:rFonts w:ascii="Times New Roman" w:cs="Times New Roman" w:eastAsia="Times New Roman" w:hAnsi="Times New Roman"/>
          <w:b/>
          <w:bCs/>
          <w:i/>
          <w:iCs/>
          <w:sz w:val="24"/>
          <w:szCs w:val="24"/>
        </w:rPr>
        <w:t xml:space="preserve">(a) The charge. </w:t>
      </w:r>
      <w:r>
        <w:rPr>
          <w:rFonts w:ascii="Times New Roman" w:cs="Times New Roman" w:eastAsia="Times New Roman" w:hAnsi="Times New Roman"/>
          <w:sz w:val="24"/>
          <w:szCs w:val="24"/>
        </w:rPr>
        <w:t xml:space="preserve">Under Section 7(1)(a) of the Act, “supply” includes the forms of supply listed there only when “made or agreed to be made for a consideration by a person in the course or furtherance of business.” The expression “in the course or furtherance of business” is the gateway to the charge; a transaction outside it is not a supply and bears no GST.</w:t>
      </w:r>
    </w:p>
    <w:p>
      <w:pPr>
        <w:spacing w:after="140" w:line="276"/>
        <w:ind w:left="720"/>
        <w:jc w:val="both"/>
      </w:pPr>
      <w:r>
        <w:rPr>
          <w:rFonts w:ascii="Times New Roman" w:cs="Times New Roman" w:eastAsia="Times New Roman" w:hAnsi="Times New Roman"/>
          <w:b/>
          <w:bCs/>
          <w:i/>
          <w:iCs/>
          <w:sz w:val="24"/>
          <w:szCs w:val="24"/>
        </w:rPr>
        <w:t xml:space="preserve">(b) “Business” under Section 2(17). </w:t>
      </w:r>
      <w:r>
        <w:rPr>
          <w:rFonts w:ascii="Times New Roman" w:cs="Times New Roman" w:eastAsia="Times New Roman" w:hAnsi="Times New Roman"/>
          <w:sz w:val="24"/>
          <w:szCs w:val="24"/>
        </w:rPr>
        <w:t xml:space="preserve">“Business” in Section 2(17) is centred on trade, commerce, manufacture, profession or vocation and activities incidental thereto. The sale of a personal asset, unconnected with the registered person’s trade, does not answer that description.</w:t>
      </w:r>
    </w:p>
    <w:p>
      <w:pPr>
        <w:spacing w:after="140" w:line="276"/>
        <w:ind w:left="720"/>
        <w:jc w:val="both"/>
      </w:pPr>
      <w:r>
        <w:rPr>
          <w:rFonts w:ascii="Times New Roman" w:cs="Times New Roman" w:eastAsia="Times New Roman" w:hAnsi="Times New Roman"/>
          <w:b/>
          <w:bCs/>
          <w:i/>
          <w:iCs/>
          <w:sz w:val="24"/>
          <w:szCs w:val="24"/>
        </w:rPr>
        <w:t xml:space="preserve">(c) Clarificatory guidance. </w:t>
      </w:r>
      <w:r>
        <w:rPr>
          <w:rFonts w:ascii="Times New Roman" w:cs="Times New Roman" w:eastAsia="Times New Roman" w:hAnsi="Times New Roman"/>
          <w:sz w:val="24"/>
          <w:szCs w:val="24"/>
        </w:rPr>
        <w:t xml:space="preserve">The CBIC’s Frequently Asked Questions clarify the same position — that where an individual sells a car bought for personal use, the transaction is not a supply, being not made in the course or furtherance of business, and no input tax credit having been admissible on acquisition. The registered person relies on this as persuasive clarificatory guidance; it is, properly, an FAQ and not a binding circular.</w:t>
      </w:r>
    </w:p>
    <w:p>
      <w:pPr>
        <w:spacing w:after="140" w:line="276"/>
        <w:ind w:left="720"/>
        <w:jc w:val="both"/>
      </w:pPr>
      <w:r>
        <w:rPr>
          <w:rFonts w:ascii="Times New Roman" w:cs="Times New Roman" w:eastAsia="Times New Roman" w:hAnsi="Times New Roman"/>
          <w:b/>
          <w:bCs/>
          <w:i/>
          <w:iCs/>
          <w:sz w:val="24"/>
          <w:szCs w:val="24"/>
        </w:rPr>
        <w:t xml:space="preserve">(d) Evidence of personal character. </w:t>
      </w:r>
      <w:r>
        <w:rPr>
          <w:rFonts w:ascii="Times New Roman" w:cs="Times New Roman" w:eastAsia="Times New Roman" w:hAnsi="Times New Roman"/>
          <w:sz w:val="24"/>
          <w:szCs w:val="24"/>
        </w:rPr>
        <w:t xml:space="preserve">The personal character of the asset and its sale is borne out by the record: the sale proceeds were credited to the personal savings bank account, and the asset is reflected in the personal accounts / individual return of the proprietor and not in the business balance sheet. These materials are available for verification.</w:t>
      </w:r>
    </w:p>
    <w:p>
      <w:pPr>
        <w:spacing w:after="140" w:line="276"/>
        <w:ind w:left="720"/>
        <w:jc w:val="both"/>
      </w:pPr>
      <w:r>
        <w:rPr>
          <w:rFonts w:ascii="Times New Roman" w:cs="Times New Roman" w:eastAsia="Times New Roman" w:hAnsi="Times New Roman"/>
          <w:b/>
          <w:bCs/>
          <w:i/>
          <w:iCs/>
          <w:sz w:val="24"/>
          <w:szCs w:val="24"/>
        </w:rPr>
        <w:t xml:space="preserve">(e) Conclusion. </w:t>
      </w:r>
      <w:r>
        <w:rPr>
          <w:rFonts w:ascii="Times New Roman" w:cs="Times New Roman" w:eastAsia="Times New Roman" w:hAnsi="Times New Roman"/>
          <w:sz w:val="24"/>
          <w:szCs w:val="24"/>
        </w:rPr>
        <w:t xml:space="preserve">The sale being of a personal-use asset and not a supply in the course or furtherance of business, no GST is leviable and the proceedings ought to be dropped.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the sale of personal-use assets being outside the scope of “supply” under Section 7;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2026-06-13T08:13:08.819Z</dcterms:created>
  <dcterms:modified xsi:type="dcterms:W3CDTF">2026-06-13T08:13:08.819Z</dcterms:modified>
</cp:coreProperties>
</file>

<file path=docProps/custom.xml><?xml version="1.0" encoding="utf-8"?>
<Properties xmlns="http://schemas.openxmlformats.org/officeDocument/2006/custom-properties" xmlns:vt="http://schemas.openxmlformats.org/officeDocument/2006/docPropsVTypes"/>
</file>