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proposing cancellation / suspension of registration on the bare allegation of “fraud, wilful misstatement or suppression of facts” — the notice being vague, cryptic and bereft of particulars.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cancellation of the registration reciting only the statutory expression — “Registration has been obtained by means of fraud, wilful misstatement or suppression of facts” — without disclosing what the fraud or misstatement is said to be, the basis for the allegation, or the material relied upon. A notice in those terms gives the registered person nothing to meet and is contrary to settled law requiring a show cause notice to state intelligible reasons. The registered person is unable to file an effective reply and prays that a proper, particularised notice be issued (or the proceedings dropped).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show cause notice (in FORM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proposing cancellation / suspension of its registration. The sole reason stated was the reproduction of the statutory phrase that registration “has been obtained by means of fraud, wilful misstatement or suppression of facts,” with no particulars, no basis and no supporting material.</w:t>
      </w:r>
    </w:p>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A SHOW CAUSE NOTICE MUST DISCLOSE INTELLIGIBLE REASONS AND PARTICULARS</w:t>
      </w:r>
    </w:p>
    <w:p>
      <w:pPr>
        <w:spacing w:after="140" w:line="276"/>
        <w:ind w:left="720"/>
        <w:jc w:val="both"/>
      </w:pPr>
      <w:r>
        <w:rPr>
          <w:rFonts w:ascii="Times New Roman" w:cs="Times New Roman" w:eastAsia="Times New Roman" w:hAnsi="Times New Roman"/>
          <w:b/>
          <w:bCs/>
          <w:i/>
          <w:iCs/>
          <w:sz w:val="24"/>
          <w:szCs w:val="24"/>
        </w:rPr>
        <w:t xml:space="preserve">(a) The principle. </w:t>
      </w:r>
      <w:r>
        <w:rPr>
          <w:rFonts w:ascii="Times New Roman" w:cs="Times New Roman" w:eastAsia="Times New Roman" w:hAnsi="Times New Roman"/>
          <w:sz w:val="24"/>
          <w:szCs w:val="24"/>
        </w:rPr>
        <w:t xml:space="preserve">A show cause notice that merely parrots the language of the statute, without disclosing the facts said to constitute the fraud, wilful misstatement or suppression, denies the noticee the opportunity to respond and is bad in law. The vice is not cured by the gravity of the words used; particulars are indispensable.</w:t>
      </w:r>
    </w:p>
    <w:p>
      <w:pPr>
        <w:spacing w:after="140" w:line="276"/>
        <w:ind w:left="720"/>
        <w:jc w:val="both"/>
      </w:pPr>
      <w:r>
        <w:rPr>
          <w:rFonts w:ascii="Times New Roman" w:cs="Times New Roman" w:eastAsia="Times New Roman" w:hAnsi="Times New Roman"/>
          <w:b/>
          <w:bCs/>
          <w:i/>
          <w:iCs/>
          <w:sz w:val="24"/>
          <w:szCs w:val="24"/>
        </w:rPr>
        <w:t xml:space="preserve">(b) Authorities. </w:t>
      </w: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APJ Investments Pvt. Ltd. v. Commissioner of GST</w:t>
      </w:r>
      <w:r>
        <w:rPr>
          <w:rFonts w:ascii="Times New Roman" w:cs="Times New Roman" w:eastAsia="Times New Roman" w:hAnsi="Times New Roman"/>
          <w:sz w:val="24"/>
          <w:szCs w:val="24"/>
        </w:rPr>
        <w:t xml:space="preserve">, Delhi High Court, W.P.(C) 6033/2023, dated 9 May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(exact caption to be confirmed from the order copy), a notice reciting only that “registration has been obtained by means of fraud, wilful misstatement or suppression of facts” was held cryptic and lacking the necessary particulars, and the proceedings were interfered with. In </w:t>
      </w:r>
      <w:r>
        <w:rPr>
          <w:rFonts w:ascii="Times New Roman" w:cs="Times New Roman" w:eastAsia="Times New Roman" w:hAnsi="Times New Roman"/>
          <w:i/>
          <w:iCs/>
          <w:sz w:val="24"/>
          <w:szCs w:val="24"/>
        </w:rPr>
        <w:t xml:space="preserve">Sarvoday Impex v. Union of India</w:t>
      </w:r>
      <w:r>
        <w:rPr>
          <w:rFonts w:ascii="Times New Roman" w:cs="Times New Roman" w:eastAsia="Times New Roman" w:hAnsi="Times New Roman"/>
          <w:sz w:val="24"/>
          <w:szCs w:val="24"/>
        </w:rPr>
        <w:t xml:space="preserve">, Gujarat High Court, Special Civil Application No. 903 of 2023, dated 7 June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 similarly worded notice was quashed as cryptic and without reasons, with liberty to issue a fresh, particularised notice and a direction to restore the registration. To the same effect is </w:t>
      </w:r>
      <w:r>
        <w:rPr>
          <w:rFonts w:ascii="Times New Roman" w:cs="Times New Roman" w:eastAsia="Times New Roman" w:hAnsi="Times New Roman"/>
          <w:i/>
          <w:iCs/>
          <w:sz w:val="24"/>
          <w:szCs w:val="24"/>
        </w:rPr>
        <w:t xml:space="preserve">Virendra Singh Thakur v. State of Madhya Pradesh &amp; Ors.</w:t>
      </w:r>
      <w:r>
        <w:rPr>
          <w:rFonts w:ascii="Times New Roman" w:cs="Times New Roman" w:eastAsia="Times New Roman" w:hAnsi="Times New Roman"/>
          <w:sz w:val="24"/>
          <w:szCs w:val="24"/>
        </w:rPr>
        <w:t xml:space="preserve">, Madhya Pradesh High Court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(exact writ number and date to be confirmed), where a cryptic, one-line, auto-generated show cause notice under Section 29(2)(e) and the consequential cancellation, appellate and recovery proceedings were set aside as violative of natural justice. The same line continues in the most recent authority: </w:t>
      </w:r>
      <w:r>
        <w:rPr>
          <w:rFonts w:ascii="Times New Roman" w:cs="Times New Roman" w:eastAsia="Times New Roman" w:hAnsi="Times New Roman"/>
          <w:i/>
          <w:iCs/>
          <w:sz w:val="24"/>
          <w:szCs w:val="24"/>
        </w:rPr>
        <w:t xml:space="preserve">Sachdeva Steel Impex v. Union of India</w:t>
      </w:r>
      <w:r>
        <w:rPr>
          <w:rFonts w:ascii="Times New Roman" w:cs="Times New Roman" w:eastAsia="Times New Roman" w:hAnsi="Times New Roman"/>
          <w:sz w:val="24"/>
          <w:szCs w:val="24"/>
        </w:rPr>
        <w:t xml:space="preserve">, Punjab and Haryana High Court, CWP No. 11563 of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(notice merely reproducing the statutory phrase quashed), and the Delhi High Court decisions in </w:t>
      </w:r>
      <w:r>
        <w:rPr>
          <w:rFonts w:ascii="Times New Roman" w:cs="Times New Roman" w:eastAsia="Times New Roman" w:hAnsi="Times New Roman"/>
          <w:i/>
          <w:iCs/>
          <w:sz w:val="24"/>
          <w:szCs w:val="24"/>
        </w:rPr>
        <w:t xml:space="preserve">Akash Bansal</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V R Impex</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(2025), to like effect (exact citations to be confirmed from the order copies).</w:t>
      </w:r>
    </w:p>
    <w:p>
      <w:pPr>
        <w:spacing w:after="140" w:line="276"/>
        <w:ind w:left="720"/>
        <w:jc w:val="both"/>
      </w:pPr>
      <w:r>
        <w:rPr>
          <w:rFonts w:ascii="Times New Roman" w:cs="Times New Roman" w:eastAsia="Times New Roman" w:hAnsi="Times New Roman"/>
          <w:b/>
          <w:bCs/>
          <w:i/>
          <w:iCs/>
          <w:sz w:val="24"/>
          <w:szCs w:val="24"/>
        </w:rPr>
        <w:t xml:space="preserve">(c) Application and relief. </w:t>
      </w:r>
      <w:r>
        <w:rPr>
          <w:rFonts w:ascii="Times New Roman" w:cs="Times New Roman" w:eastAsia="Times New Roman" w:hAnsi="Times New Roman"/>
          <w:sz w:val="24"/>
          <w:szCs w:val="24"/>
        </w:rPr>
        <w:t xml:space="preserve">The notice here is indistinguishable from those struck down in the above authorities: it states only the statutory phrase, with no particulars or material. The registered person cannot meaningfully reply to it. The proper course is for the notice to be withdrawn, or for a fresh, particularised notice to be issued disclosing the precise allegation and the material relied upon, followed by a real opportunity of hearing, before any order of cancellation is even contemplated.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impugned show cause notice be dropped as vague and cryptic; that, if the Department wishes to proceed, a fresh notice be issued setting out the specific allegation and the supporting material so as to enable an effective reply; and that the registration not be cancelled or suspended without a proper notice and a hearing.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2026-06-13T08:15:41.369Z</dcterms:created>
  <dcterms:modified xsi:type="dcterms:W3CDTF">2026-06-13T08:15:41.369Z</dcterms:modified>
</cp:coreProperties>
</file>

<file path=docProps/custom.xml><?xml version="1.0" encoding="utf-8"?>
<Properties xmlns="http://schemas.openxmlformats.org/officeDocument/2006/custom-properties" xmlns:vt="http://schemas.openxmlformats.org/officeDocument/2006/docPropsVTypes"/>
</file>