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withholding the refund of input tax credit on zero-rated supplies on the ground of an alleged excess claim of duty drawback under Circular No. 37/2018-Customs dated 09.10.2018, and request for release of the refund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 /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character of the supply (zero-rated), the basis of withholding (Circular 37/2018-Customs; alleged excess duty drawback)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withholds the Company’s refund of input tax credit on zero-rated supplies on the footing that the Company claimed a higher rate of duty drawback, relying on Circular No. 37/2018-Customs dated 09.10.2018. The withholding is unsustainable. The entitlement to refund of unutilised input tax credit (or of the integrated tax paid) on zero-rated supplies arises under Section 16(3) of the IGST Act read with Section 54 of the CGST Act and Rule 89 / Rule 96 of the CGST Rules. A drawback under the customs duty drawback scheme and a refund of GST input tax credit operate in distinct fields; the drawback of customs duty does not, in law, bar a refund of the GST component, and a customs circular cannot override the refund entitlement conferred by the GST statute. The refund is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makes zero-rated supplies by way of export, and claimed refund in respect thereof.</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refund claim. </w:t>
      </w:r>
      <w:r>
        <w:rPr>
          <w:rFonts w:ascii="Times New Roman" w:cs="Times New Roman" w:eastAsia="Times New Roman" w:hAnsi="Times New Roman"/>
          <w:b w:val="false"/>
          <w:bCs w:val="false"/>
          <w:i w:val="false"/>
          <w:iCs w:val="false"/>
          <w:caps w:val="false"/>
          <w:sz w:val="24"/>
          <w:szCs w:val="24"/>
        </w:rPr>
        <w:t xml:space="preserve">The Company claimed refund of the input tax credit / integrated tax referable to its zero-rated supplies, in accordance with Section 16(3) of the IGST Act read with Section 54 of the CGST Act and the applicable rules.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withholding. </w:t>
      </w:r>
      <w:r>
        <w:rPr>
          <w:rFonts w:ascii="Times New Roman" w:cs="Times New Roman" w:eastAsia="Times New Roman" w:hAnsi="Times New Roman"/>
          <w:b w:val="false"/>
          <w:bCs w:val="false"/>
          <w:i w:val="false"/>
          <w:iCs w:val="false"/>
          <w:caps w:val="false"/>
          <w:sz w:val="24"/>
          <w:szCs w:val="24"/>
        </w:rPr>
        <w:t xml:space="preserve">By the Impugned Notice, the Department withheld the refund on the ground that the Company had claimed the higher All Industry Rate of duty drawback, relying on Circular No. 37/2018-Customs dated 09.10.2018.</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for release of the refund. The Company DENIES any basis for withholding it.</w:t>
      </w:r>
    </w:p>
    <w:p>
      <w:pPr>
        <w:pStyle w:val="Heading2"/>
        <w:spacing w:after="140" w:before="200"/>
      </w:pPr>
      <w:r>
        <w:rPr>
          <w:rFonts w:ascii="Times New Roman" w:cs="Times New Roman" w:eastAsia="Times New Roman" w:hAnsi="Times New Roman"/>
          <w:b/>
          <w:bCs/>
          <w:sz w:val="24"/>
          <w:szCs w:val="24"/>
        </w:rPr>
        <w:t xml:space="preserve">Ground 1: The GST refund on zero-rated supplies is a statutory entitlement; Section 54 read with Rule 96 is a complete code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16(3) of the IGST Act entitles a person making zero-rated supplies to claim refund, either of the unutilised input tax credit (against a LUT/bond, under Rule 89) or of the integrated tax paid (under Rule 96). Section 54 of the CGST Act read with Rule 96 constitutes a complete code for the grant of such refund. The grounds on which a refund may be withheld are confined to those prescribed — Section 54(10) and (11) and Rule 96(4) — and the present ground (an alleged excess drawback under a customs circular) is not among them. A refund cannot be withheld for a reason outside the statutory scheme.</w:t>
      </w:r>
    </w:p>
    <w:p>
      <w:pPr>
        <w:pStyle w:val="Heading2"/>
        <w:spacing w:after="140" w:before="200"/>
      </w:pPr>
      <w:r>
        <w:rPr>
          <w:rFonts w:ascii="Times New Roman" w:cs="Times New Roman" w:eastAsia="Times New Roman" w:hAnsi="Times New Roman"/>
          <w:b/>
          <w:bCs/>
          <w:sz w:val="24"/>
          <w:szCs w:val="24"/>
        </w:rPr>
        <w:t xml:space="preserve">Ground 2: Duty drawback and GST refund operate in distinct fields; a customs circular cannot override the GST statute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duty drawback scheme rebates customs duties (and, historically, certain central levies) on inputs used in exports; the GST refund returns the GST borne on the export. The two operate under different statutes and address different taxes. Circular No. 37/2018-Customs dated 09.10.2018 [VERIFY] addresses the drawback scheme; it cannot, being a customs executive instruction, curtail or override the refund entitlement that Section 16(3) of the IGST Act and Section 54 of the CGST Act confer. To the extent the Department reads that circular as barring the GST refund, it travels beyond the circular and beyond the law. This stands settled by Amit Cotton Industries v. Principal Commissioner of Customs, Gujarat HC, R/Special Civil Application No. 20126 of 2018, decided 27.06.2019, 2019 (29) GSTL 200 / 2019 (7) TMI 472: a higher duty drawback claim does not bar the refund of IGST on zero-rated exports, Circular No. 37/2018-Customs cannot override Rule 96 of the CGST Rules, and refund was directed with interest. The Madras and Delhi High Courts (Precot Meridian; TMA International) are to the same effect. [VERIFY the application of this line where the claim is of unutilised ITC under Rule 89 rather than IGST under Rule 96.]</w:t>
      </w:r>
    </w:p>
    <w:p>
      <w:pPr>
        <w:pStyle w:val="Heading2"/>
        <w:spacing w:after="140" w:before="200"/>
      </w:pPr>
      <w:r>
        <w:rPr>
          <w:rFonts w:ascii="Times New Roman" w:cs="Times New Roman" w:eastAsia="Times New Roman" w:hAnsi="Times New Roman"/>
          <w:b/>
          <w:bCs/>
          <w:sz w:val="24"/>
          <w:szCs w:val="24"/>
        </w:rPr>
        <w:t xml:space="preserve">Ground 3: At most, only the disputed component could be examined; the balance must be released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if any question arose as to whether a higher drawback was claimed in respect of the central tax component (which is denied), that could at most affect a quantified portion of the claim; it cannot justify withholding the entire GST refund. The Company is willing to furnish the drawback particulars and a reconciliation; the undisputed refund must be released forthwith, with interest under Section 56 for delayed refund.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refund of input tax credit / integrated tax on the zero-rated supplies, with interest under Section 56 for the period of delay;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refund cannot be withheld on a ground outside Section 54(10)/(11) and Rule 96(4);</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Circular No. 37/2018-Customs does not override the refund entitlement under Section 16(3) of the IGST Act read with Section 54 of the CGST Act;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16(3) of the IGST Act, 2017; Sections 54, 54(10), 54(11), 56 of the CGST Act, 2017; Rules 89 and 96 (including Rule 96(4))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37/2018-Customs dated 09.10.2018 (duty drawback).</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Amit Cotton Industries v. Principal Commissioner of Customs, Gujarat HC, R/SCA No. 20126 of 2018, 27.06.2019, 2019 (29) GSTL 200 / 2019 (7) TMI 472 (higher drawback no bar; Circular 37/2018-Customs cannot override Rule 96); Precot Meridian (Madras HC); TMA International (Delhi HC). [VERIFY the companions]</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Refund application (RFD-01) with ARN and acknowledgment (RFD-02).</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Shipping bills / export documents and drawback particulars.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2026-06-13T08:26:21.222Z</dcterms:created>
  <dcterms:modified xsi:type="dcterms:W3CDTF">2026-06-13T08:26:21.222Z</dcterms:modified>
</cp:coreProperties>
</file>

<file path=docProps/custom.xml><?xml version="1.0" encoding="utf-8"?>
<Properties xmlns="http://schemas.openxmlformats.org/officeDocument/2006/custom-properties" xmlns:vt="http://schemas.openxmlformats.org/officeDocument/2006/docPropsVTypes"/>
</file>