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proposing reversal of input tax credit treated as blocked under Section 17(5) of the CGST/SGST Act, 2017 — the expenditure being repair and maintenance charged to revenue and not capitalised.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treats the input tax credit on certain repair and maintenance expenditure on the registered person’s factory building as blocked under Section 17(5)(d). That clause, read with its Explanation, blocks credit on construction-related expenditure only to the extent it is capitalised. The expenditure here was repair and maintenance charged to the profit and loss account and not capitalised; the fixed-asset block in the balance sheet is unchanged. The credit is therefore not blocked and is admissible.</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incurred repair and maintenance expenditure on its existing factory building, charged in full to the profit and loss account as revenue expenditure; there was no addition to the fixed-asset (building) block in the balance sheet, as the comparative figures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Particulars</w:t>
            </w:r>
          </w:p>
        </w:tc>
        <w:tc>
          <w:tcPr>
            <w:tcW w:type="dxa" w:w="37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Amount</w:t>
            </w:r>
          </w:p>
        </w:tc>
      </w:tr>
      <w:tr>
        <w:tc>
          <w:tcPr>
            <w:tcW w:type="dxa" w:w="5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Repair and maintenance (P&amp;L) for the year</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100</w:t>
            </w:r>
          </w:p>
        </w:tc>
      </w:tr>
      <w:tr>
        <w:tc>
          <w:tcPr>
            <w:tcW w:type="dxa" w:w="5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Fixed assets – Building (previous year)</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100</w:t>
            </w:r>
          </w:p>
        </w:tc>
      </w:tr>
      <w:tr>
        <w:tc>
          <w:tcPr>
            <w:tcW w:type="dxa" w:w="5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Fixed assets – Building (current year)</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Rs. 100</w:t>
            </w:r>
          </w:p>
        </w:tc>
      </w:tr>
      <w:tr>
        <w:tc>
          <w:tcPr>
            <w:tcW w:type="dxa" w:w="5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Increase in fixed assets</w:t>
            </w:r>
          </w:p>
        </w:tc>
        <w:tc>
          <w:tcPr>
            <w:tcW w:type="dxa" w:w="37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Nil</w:t>
            </w:r>
          </w:p>
        </w:tc>
      </w:tr>
    </w:tbl>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Section 17(5)(d) blocks credit only to the extent of capitalisation. </w:t>
      </w:r>
      <w:r>
        <w:rPr>
          <w:rFonts w:ascii="Times New Roman" w:cs="Times New Roman" w:eastAsia="Times New Roman" w:hAnsi="Times New Roman"/>
          <w:sz w:val="24"/>
          <w:szCs w:val="24"/>
        </w:rPr>
        <w:t xml:space="preserve">Section 17(5)(d) blocks credit on goods or services received for construction of immovable property on one’s own account. Its Explanation defines “construction” to include re-construction, renovation, additions, alterations or repairs “to the extent of capitalisation” to the immovable property. The blockage is thus expressly confined to capitalised expenditure; repair expenditure that is not capitalised falls outside the bar.</w:t>
      </w:r>
    </w:p>
    <w:p>
      <w:pPr>
        <w:spacing w:after="140" w:line="276"/>
        <w:ind w:left="720"/>
        <w:jc w:val="both"/>
      </w:pPr>
      <w:r>
        <w:rPr>
          <w:rFonts w:ascii="Times New Roman" w:cs="Times New Roman" w:eastAsia="Times New Roman" w:hAnsi="Times New Roman"/>
          <w:b/>
          <w:bCs/>
          <w:i/>
          <w:iCs/>
          <w:sz w:val="24"/>
          <w:szCs w:val="24"/>
        </w:rPr>
        <w:t xml:space="preserve">(b) Application to the facts. </w:t>
      </w:r>
      <w:r>
        <w:rPr>
          <w:rFonts w:ascii="Times New Roman" w:cs="Times New Roman" w:eastAsia="Times New Roman" w:hAnsi="Times New Roman"/>
          <w:sz w:val="24"/>
          <w:szCs w:val="24"/>
        </w:rPr>
        <w:t xml:space="preserve">The repair and maintenance here was charged to the profit and loss account as revenue expenditure and not capitalised, and the building block in the balance sheet is unchanged year on year. The credit is therefore not hit by Section 17(5)(d). The profit and loss account and balance sheet evidencing this are enclosed.</w:t>
      </w:r>
    </w:p>
    <w:p>
      <w:pPr>
        <w:spacing w:after="140" w:line="276"/>
        <w:ind w:left="720"/>
        <w:jc w:val="both"/>
      </w:pPr>
      <w:r>
        <w:rPr>
          <w:rFonts w:ascii="Times New Roman" w:cs="Times New Roman" w:eastAsia="Times New Roman" w:hAnsi="Times New Roman"/>
          <w:b/>
          <w:bCs/>
          <w:i/>
          <w:iCs/>
          <w:sz w:val="24"/>
          <w:szCs w:val="24"/>
        </w:rPr>
        <w:t xml:space="preserve">(c) The Finance Act 2025 amendment does not affect this. </w:t>
      </w:r>
      <w:r>
        <w:rPr>
          <w:rFonts w:ascii="Times New Roman" w:cs="Times New Roman" w:eastAsia="Times New Roman" w:hAnsi="Times New Roman"/>
          <w:sz w:val="24"/>
          <w:szCs w:val="24"/>
        </w:rPr>
        <w:t xml:space="preserve">It is noted that Section 119 of the Finance Act, 2025 retrospectively substituted “plant and machinery” for “plant or machinery” in Section 17(5)(d), to override the functionality test in </w:t>
      </w:r>
      <w:r>
        <w:rPr>
          <w:rFonts w:ascii="Times New Roman" w:cs="Times New Roman" w:eastAsia="Times New Roman" w:hAnsi="Times New Roman"/>
          <w:i/>
          <w:iCs/>
          <w:sz w:val="24"/>
          <w:szCs w:val="24"/>
        </w:rPr>
        <w:t xml:space="preserve">Safari Retreats</w:t>
      </w:r>
      <w:r>
        <w:rPr>
          <w:rFonts w:ascii="Times New Roman" w:cs="Times New Roman" w:eastAsia="Times New Roman" w:hAnsi="Times New Roman"/>
          <w:sz w:val="24"/>
          <w:szCs w:val="24"/>
        </w:rPr>
        <w:t xml:space="preserve">. That change concerns whether a building can itself qualify as ‘plant’; it leaves untouched the “to the extent of capitalisation” limb of the Explanation, on which the present reply rests. The non-capitalised repair argument is therefore unaffected by the amendment.</w:t>
      </w:r>
    </w:p>
    <w:p>
      <w:pPr>
        <w:spacing w:after="140" w:line="276"/>
        <w:ind w:left="720"/>
        <w:jc w:val="both"/>
      </w:pPr>
      <w:r>
        <w:rPr>
          <w:rFonts w:ascii="Times New Roman" w:cs="Times New Roman" w:eastAsia="Times New Roman" w:hAnsi="Times New Roman"/>
          <w:b/>
          <w:bCs/>
          <w:i/>
          <w:iCs/>
          <w:sz w:val="24"/>
          <w:szCs w:val="24"/>
        </w:rPr>
        <w:t xml:space="preserve">(d) Supporting authority. </w:t>
      </w:r>
      <w:r>
        <w:rPr>
          <w:rFonts w:ascii="Times New Roman" w:cs="Times New Roman" w:eastAsia="Times New Roman" w:hAnsi="Times New Roman"/>
          <w:sz w:val="24"/>
          <w:szCs w:val="24"/>
        </w:rPr>
        <w:t xml:space="preserve">This view is supported by the ruling of the Authority for Advance Ruling, Tamil Nadu in </w:t>
      </w:r>
      <w:r>
        <w:rPr>
          <w:rFonts w:ascii="Times New Roman" w:cs="Times New Roman" w:eastAsia="Times New Roman" w:hAnsi="Times New Roman"/>
          <w:i/>
          <w:iCs/>
          <w:sz w:val="24"/>
          <w:szCs w:val="24"/>
        </w:rPr>
        <w:t xml:space="preserve">M/s J.K. Fenner (India) Limited</w:t>
      </w:r>
      <w:r>
        <w:rPr>
          <w:rFonts w:ascii="Times New Roman" w:cs="Times New Roman" w:eastAsia="Times New Roman" w:hAnsi="Times New Roman"/>
          <w:sz w:val="24"/>
          <w:szCs w:val="24"/>
        </w:rPr>
        <w:t xml:space="preserve">, Order No. TN/08/AAR/2023 dated 6 June 2023</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holding that a registered person is entitled to credit on goods and services received towards repair of an existing (already capitalised) factory building to the extent the expenditure is not capitalised in the accounts. (Being an advance ruling, it is relied upon as persuasive; the principle, however, flows directly from the Explanation to Section 17(5).)</w:t>
      </w:r>
    </w:p>
    <w:p>
      <w:pPr>
        <w:spacing w:after="140" w:line="276"/>
        <w:ind w:left="720"/>
        <w:jc w:val="both"/>
      </w:pPr>
      <w:r>
        <w:rPr>
          <w:rFonts w:ascii="Times New Roman" w:cs="Times New Roman" w:eastAsia="Times New Roman" w:hAnsi="Times New Roman"/>
          <w:b/>
          <w:bCs/>
          <w:i/>
          <w:iCs/>
          <w:sz w:val="24"/>
          <w:szCs w:val="24"/>
        </w:rPr>
        <w:t xml:space="preserve">(d) Conclusion. </w:t>
      </w:r>
      <w:r>
        <w:rPr>
          <w:rFonts w:ascii="Times New Roman" w:cs="Times New Roman" w:eastAsia="Times New Roman" w:hAnsi="Times New Roman"/>
          <w:sz w:val="24"/>
          <w:szCs w:val="24"/>
        </w:rPr>
        <w:t xml:space="preserve">The expenditure being non-capitalised revenue repair, the credit is admissible and the proposed reversal is unsustainable.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input tax credit on non-capitalised repair and maintenance not being blocked under Section 17(5)(d);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2026-06-13T08:13:09.865Z</dcterms:created>
  <dcterms:modified xsi:type="dcterms:W3CDTF">2026-06-13T08:13:09.865Z</dcterms:modified>
</cp:coreProperties>
</file>

<file path=docProps/custom.xml><?xml version="1.0" encoding="utf-8"?>
<Properties xmlns="http://schemas.openxmlformats.org/officeDocument/2006/custom-properties" xmlns:vt="http://schemas.openxmlformats.org/officeDocument/2006/docPropsVTypes"/>
</file>