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under Section 74 of the CGST/SGST Act, 2017 alleging wrongful availment of input tax credit on invoices said to be without supply — the purchases from M/s ABC Ltd being genuine.</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Place of execution Mumbai; addressee jurisdiction (originally Rajasthan) to be reconciled. Purchase, transport and payment particulars to be completed from the record.</w:t>
      </w:r>
    </w:p>
    <w:p>
      <w:pPr>
        <w:pStyle w:val="Heading1"/>
        <w:spacing w:after="140" w:before="280"/>
      </w:pPr>
      <w:r>
        <w:rPr>
          <w:rFonts w:ascii="Times New Roman" w:cs="Times New Roman" w:eastAsia="Times New Roman" w:hAnsi="Times New Roman"/>
          <w:b/>
          <w:bCs/>
          <w:sz w:val="26"/>
          <w:szCs w:val="26"/>
        </w:rPr>
        <w:t xml:space="preserve">SYNOPSIS</w:t>
      </w:r>
    </w:p>
    <w:p>
      <w:pPr>
        <w:spacing w:after="160" w:line="276"/>
        <w:jc w:val="both"/>
      </w:pPr>
      <w:r>
        <w:rPr>
          <w:rFonts w:ascii="Times New Roman" w:cs="Times New Roman" w:eastAsia="Times New Roman" w:hAnsi="Times New Roman"/>
          <w:sz w:val="24"/>
          <w:szCs w:val="24"/>
        </w:rPr>
        <w:t xml:space="preserve">The notice, issued under Section 74, alleges that the registered person availed input tax credit on invoices from M/s ABC Ltd without an underlying supply, the supplier being said to be non-existent / engaged in fake billing. The premise is incorrect: the registered person made genuine purchases from M/s ABC Ltd, received the goods, and paid the consideration with tax through banking channels. Where the supply is real and Section 16(2) satisfied, the charge of fraudulent availment under Section 74 cannot be sustained; and Section 74 requires a positive finding of fraud, wilful misstatement or suppression, which is absent.</w:t>
      </w:r>
    </w:p>
    <w:p>
      <w:pPr>
        <w:pStyle w:val="Heading1"/>
        <w:spacing w:after="140" w:before="280"/>
      </w:pPr>
      <w:r>
        <w:rPr>
          <w:rFonts w:ascii="Times New Roman" w:cs="Times New Roman" w:eastAsia="Times New Roman" w:hAnsi="Times New Roman"/>
          <w:b/>
          <w:bCs/>
          <w:sz w:val="26"/>
          <w:szCs w:val="26"/>
        </w:rPr>
        <w:t xml:space="preserve">FACTUAL BACKGROUND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registered person received a show cause notice under Section 74 (Ref.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dated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alleging that the input tax credit availed on supplies from M/s ABC Ltd was fraudulent because the supplier was found non-existent / untraceable / engaged in fake billing, and proposing recovery with interest and penalty.</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registered person in fact purchased goods from M/s ABC Ltd, particulars whereof are set out below (to be completed from the record), the goods having been received and the consideration with tax paid through banking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rPr>
          <w:tblHeader/>
        </w:trPr>
        <w:tc>
          <w:tcPr>
            <w:tcW w:type="dxa" w:w="240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Invoice Date</w:t>
            </w:r>
          </w:p>
        </w:tc>
        <w:tc>
          <w:tcPr>
            <w:tcW w:type="dxa" w:w="220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Invoice No.</w:t>
            </w:r>
          </w:p>
        </w:tc>
        <w:tc>
          <w:tcPr>
            <w:tcW w:type="dxa" w:w="220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Taxable Value</w:t>
            </w:r>
          </w:p>
        </w:tc>
        <w:tc>
          <w:tcPr>
            <w:tcW w:type="dxa" w:w="256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GST</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w:t>
            </w:r>
          </w:p>
        </w:tc>
        <w:tc>
          <w:tcPr>
            <w:tcW w:type="dxa" w:w="25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w:t>
            </w:r>
          </w:p>
        </w:tc>
      </w:tr>
    </w:tbl>
    <w:p>
      <w:pPr>
        <w:pStyle w:val="Heading1"/>
        <w:spacing w:after="140" w:before="280"/>
      </w:pPr>
      <w:r>
        <w:rPr>
          <w:rFonts w:ascii="Times New Roman" w:cs="Times New Roman" w:eastAsia="Times New Roman" w:hAnsi="Times New Roman"/>
          <w:b/>
          <w:bCs/>
          <w:sz w:val="26"/>
          <w:szCs w:val="26"/>
        </w:rPr>
        <w:t xml:space="preserve">SUBMISSIONS</w:t>
      </w:r>
    </w:p>
    <w:p>
      <w:pPr>
        <w:pStyle w:val="Heading2"/>
        <w:spacing w:after="120" w:before="200"/>
      </w:pPr>
      <w:r>
        <w:rPr>
          <w:rFonts w:ascii="Times New Roman" w:cs="Times New Roman" w:eastAsia="Times New Roman" w:hAnsi="Times New Roman"/>
          <w:b/>
          <w:bCs/>
          <w:sz w:val="24"/>
          <w:szCs w:val="24"/>
        </w:rPr>
        <w:t xml:space="preserve">SUBMISSION 1: THE PURCHASES WERE GENUINE; SECTION 16(2) IS SATISFIED</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registered person availed the credit on real purchases: it holds the tax invoices, received the goods, and paid the value and tax through banking channels; the credit was reflected in its GSTR-2A / 2B. There being an actual supply, the foundational allegation — that the invoices were issued without supply — is contrary to the record. The registered person cannot be visited with the consequences of any infirmity at the supplier’s end of which it had no knowledge and to which it did not contribute; no collusion is alleged or shown.</w:t>
      </w:r>
    </w:p>
    <w:p>
      <w:pPr>
        <w:pStyle w:val="Heading2"/>
        <w:spacing w:after="120" w:before="200"/>
      </w:pPr>
      <w:r>
        <w:rPr>
          <w:rFonts w:ascii="Times New Roman" w:cs="Times New Roman" w:eastAsia="Times New Roman" w:hAnsi="Times New Roman"/>
          <w:b/>
          <w:bCs/>
          <w:sz w:val="24"/>
          <w:szCs w:val="24"/>
        </w:rPr>
        <w:t xml:space="preserve">SUBMISSION 2: SECTION 74 REQUIRES FRAUD / WILFUL MISSTATEMENT / SUPPRESSION</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Section 74 can be invoked only on a positive finding, supported by material, of fraud, wilful misstatement or suppression of facts with intent to evade tax. The notice discloses no such material against the registered person, whose dealings were disclosed in its returns. Absent the jurisdictional fact, the Section 74 proceeding is unsustainable.</w:t>
      </w:r>
    </w:p>
    <w:p>
      <w:pPr>
        <w:pStyle w:val="Heading2"/>
        <w:spacing w:after="120" w:before="200"/>
      </w:pPr>
      <w:r>
        <w:rPr>
          <w:rFonts w:ascii="Times New Roman" w:cs="Times New Roman" w:eastAsia="Times New Roman" w:hAnsi="Times New Roman"/>
          <w:b/>
          <w:bCs/>
          <w:sz w:val="24"/>
          <w:szCs w:val="24"/>
        </w:rPr>
        <w:t xml:space="preserve">SUBMISSION 3 (WITHOUT PREJUDICE): SCHEME OF CIRCULAR 171/2022 CORRECTLY APPLIED</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registered person notes that the notice correctly proceeds under Section 74 (and not Section 122) against it as the recipient, consistent with Circular No. 171/03/2022-GST dated 6 July 2022</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which clarifies that a recipient who has availed and utilised credit without receiving the goods is liable under Section 74 (with the bar in Section 75(13) against a separate Section 122 penalty for the same act). That clarification, however, presupposes the absence of supply; it has no application where, as here, the supply is genuine. Without prejudice, if any liability were assumed (which is denied), the benefit of Section 74(8) (payment within thirty days of the notice — tax, interest and 25% penalty — concluding the proceedings) is expressly reserved.</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prayed that the notice under Section 74 be dropped, the purchases from M/s ABC Ltd being genuine and Section 16(2) satisfied, and no fraud / wilful misstatement / suppression being made out; and that a personal hearing be granted before any adverse order.</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2026-06-13T08:13:09.910Z</dcterms:created>
  <dcterms:modified xsi:type="dcterms:W3CDTF">2026-06-13T08:13:09.910Z</dcterms:modified>
</cp:coreProperties>
</file>

<file path=docProps/custom.xml><?xml version="1.0" encoding="utf-8"?>
<Properties xmlns="http://schemas.openxmlformats.org/officeDocument/2006/custom-properties" xmlns:vt="http://schemas.openxmlformats.org/officeDocument/2006/docPropsVTypes"/>
</file>