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Representation regarding the intimation in FORM GST DRC-01A under Section 73/74 — the period allowed to reply being inadequate — request for a fair opportunity before issue of any show cause notice.</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Place of execution Mumbai; addressee jurisdiction to be reconciled.</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The registered person has received an intimation in FORM GST DRC-01A under Section 73/74 and is required to respond within a short period, failing which proceedings will be initiated. The DRC-01A is a pre-show-cause-notice opportunity intended to allow the taxpayer to pay on its own ascertainment or to file Part B of the form; that opportunity must be real, with adequate time. The registered person seeks a fair and reasonable period to file its Part B reply before any show cause notice in FORM GST DRC-01 is issued.</w:t>
      </w:r>
    </w:p>
    <w:p>
      <w:pPr>
        <w:pStyle w:val="Heading1"/>
        <w:spacing w:after="140" w:before="280"/>
      </w:pPr>
      <w:r>
        <w:rPr>
          <w:rFonts w:ascii="Times New Roman" w:cs="Times New Roman" w:eastAsia="Times New Roman" w:hAnsi="Times New Roman"/>
          <w:b/>
          <w:bCs/>
          <w:sz w:val="26"/>
          <w:szCs w:val="26"/>
        </w:rPr>
        <w:t xml:space="preserve">SUBMISSIONS</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Under Section 73(5) / 74(5) read with Rule 142(1A), a person chargeable may, before service of a show cause notice, pay the tax with interest (and, under Section 74, the reduced penalty) on its own or the officer’s ascertainment, and the officer may communicate the ascertained dues in Part A of FORM GST DRC-01A; the taxpayer may respond in Part B. Rule 142(2) then provides for payment to be intimated in FORM GST DRC-03 and acknowledged in FORM GST DRC-04.</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This pre-notice opportunity must be genuine. In </w:t>
      </w:r>
      <w:r>
        <w:rPr>
          <w:rFonts w:ascii="Times New Roman" w:cs="Times New Roman" w:eastAsia="Times New Roman" w:hAnsi="Times New Roman"/>
          <w:i/>
          <w:iCs/>
          <w:sz w:val="24"/>
          <w:szCs w:val="24"/>
        </w:rPr>
        <w:t xml:space="preserve">M/s Ravi Enterprises v. Commissioner of State Tax &amp; Anr.</w:t>
      </w:r>
      <w:r>
        <w:rPr>
          <w:rFonts w:ascii="Times New Roman" w:cs="Times New Roman" w:eastAsia="Times New Roman" w:hAnsi="Times New Roman"/>
          <w:sz w:val="24"/>
          <w:szCs w:val="24"/>
        </w:rPr>
        <w:t xml:space="preserve">, Uttarakhand High Court, Writ Petition (M/S) No. 141 of 2023, dated 23 February 2023</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where the DRC-01A intimation was uploaded simultaneously with the Section 73(1) notice, the Court held the taxpayer had been denied the valuable right to respond to the intimation, quashed the order under Section 73(9) and remanded, directing that the reply be considered. To similar effect is the interim order of the Allahabad High Court in </w:t>
      </w:r>
      <w:r>
        <w:rPr>
          <w:rFonts w:ascii="Times New Roman" w:cs="Times New Roman" w:eastAsia="Times New Roman" w:hAnsi="Times New Roman"/>
          <w:i/>
          <w:iCs/>
          <w:sz w:val="24"/>
          <w:szCs w:val="24"/>
        </w:rPr>
        <w:t xml:space="preserve">M/s Nanhey Mal Munna Lal</w:t>
      </w:r>
      <w:r>
        <w:rPr>
          <w:rFonts w:ascii="Times New Roman" w:cs="Times New Roman" w:eastAsia="Times New Roman" w:hAnsi="Times New Roman"/>
          <w:sz w:val="24"/>
          <w:szCs w:val="24"/>
        </w:rPr>
        <w:t xml:space="preserve">, dated 15 March 2022</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(the exact writ number to be confirmed from the order copy), recognising that FORM GST DRC-01A is a pre-show-cause-notice intimation aimed at reducing litigation and that a fair opportunity must be given at that stage.</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Kerala State GST guidelines on show cause notices and recovery (dated 22 February 2021)</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likewise advise that, although the DRC-01A intimation was made optional by Notification No. 79/2020-Central Tax dated 15 October 2020, a pre-notice opportunity should be given to avoid litigation. The registered person therefore seeks a reasonable period to file its Part B reply.</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prayed that the registered person be granted a fair and reasonable period to file its reply in Part B of FORM GST DRC-01A, and that no show cause notice in FORM GST DRC-01 be issued, and no proceedings initiated, before the Part B reply is filed and considered.</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2026-06-13T08:13:09.974Z</dcterms:created>
  <dcterms:modified xsi:type="dcterms:W3CDTF">2026-06-13T08:13:09.974Z</dcterms:modified>
</cp:coreProperties>
</file>

<file path=docProps/custom.xml><?xml version="1.0" encoding="utf-8"?>
<Properties xmlns="http://schemas.openxmlformats.org/officeDocument/2006/custom-properties" xmlns:vt="http://schemas.openxmlformats.org/officeDocument/2006/docPropsVTypes"/>
</file>