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sz w:val="24"/>
          <w:szCs w:val="24"/>
        </w:rPr>
        <w:t xml:space="preserve">To,</w:t>
      </w:r>
    </w:p>
    <w:p>
      <w:pPr>
        <w:spacing w:after="60"/>
        <w:jc w:val="left"/>
      </w:pPr>
      <w:r>
        <w:rPr>
          <w:rFonts w:ascii="Times New Roman" w:cs="Times New Roman" w:eastAsia="Times New Roman" w:hAnsi="Times New Roman"/>
          <w:sz w:val="24"/>
          <w:szCs w:val="24"/>
        </w:rPr>
        <w:t xml:space="preserve">The Proper Officer (State Tax) / </w:t>
      </w:r>
      <w:r>
        <w:rPr>
          <w:rFonts w:ascii="Times New Roman" w:cs="Times New Roman" w:eastAsia="Times New Roman" w:hAnsi="Times New Roman"/>
          <w:b/>
          <w:bCs/>
          <w:sz w:val="24"/>
          <w:szCs w:val="24"/>
        </w:rPr>
        <w:t xml:space="preserve">[Designation]</w:t>
      </w:r>
    </w:p>
    <w:p>
      <w:pPr>
        <w:spacing w:after="60"/>
        <w:jc w:val="left"/>
      </w:pPr>
      <w:r>
        <w:rPr>
          <w:rFonts w:ascii="Times New Roman" w:cs="Times New Roman" w:eastAsia="Times New Roman" w:hAnsi="Times New Roman"/>
          <w:b/>
          <w:bCs/>
          <w:sz w:val="24"/>
          <w:szCs w:val="24"/>
        </w:rPr>
        <w:t xml:space="preserve">[Ward / Circle / Jurisdiction]</w:t>
      </w:r>
    </w:p>
    <w:p>
      <w:pPr>
        <w:spacing w:after="60"/>
        <w:jc w:val="left"/>
      </w:pPr>
      <w:r>
        <w:rPr>
          <w:rFonts w:ascii="Times New Roman" w:cs="Times New Roman" w:eastAsia="Times New Roman" w:hAnsi="Times New Roman"/>
          <w:b/>
          <w:bCs/>
          <w:sz w:val="24"/>
          <w:szCs w:val="24"/>
        </w:rPr>
        <w:t xml:space="preserve">[Office Address]</w:t>
      </w:r>
    </w:p>
    <w:p>
      <w:pPr>
        <w:spacing w:after="120"/>
      </w:pPr>
    </w:p>
    <w:p>
      <w:pPr>
        <w:spacing w:after="160" w:line="276"/>
        <w:jc w:val="both"/>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notice alleging excess input tax credit in GSTR-3B / Table 6 of the annual return as against GSTR-2A for FY 2018-19 — the credit being genuine and supported in terms of Circulars 183/2022 and 193/2023.</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Place of execution Mumbai; addressee jurisdiction (originally Rajasthan) to be reconciled. Where the difference exceeds Rs. 5 lakh, a CA/CMA certificate is to be enclosed; otherwise a self-certified declaration, with supplier ledger confirmations.</w:t>
      </w:r>
    </w:p>
    <w:p>
      <w:pPr>
        <w:pStyle w:val="Heading1"/>
        <w:spacing w:after="140" w:before="280"/>
      </w:pPr>
      <w:r>
        <w:rPr>
          <w:rFonts w:ascii="Times New Roman" w:cs="Times New Roman" w:eastAsia="Times New Roman" w:hAnsi="Times New Roman"/>
          <w:b/>
          <w:bCs/>
          <w:sz w:val="26"/>
          <w:szCs w:val="26"/>
        </w:rPr>
        <w:t xml:space="preserve">SYNOPSIS</w:t>
      </w:r>
    </w:p>
    <w:p>
      <w:pPr>
        <w:spacing w:after="160" w:line="276"/>
        <w:jc w:val="both"/>
      </w:pPr>
      <w:r>
        <w:rPr>
          <w:rFonts w:ascii="Times New Roman" w:cs="Times New Roman" w:eastAsia="Times New Roman" w:hAnsi="Times New Roman"/>
          <w:sz w:val="24"/>
          <w:szCs w:val="24"/>
        </w:rPr>
        <w:t xml:space="preserve">The notice alleges that the input tax credit availed (reflected in Table 6 of the annual return / GSTR-3B) exceeds the credit appearing in GSTR-2A for FY 2018-19, and proposes disallowance of the difference. A bona fide recipient cannot be denied credit merely on a GSTR-2A / GSTR-3B difference where the substantive conditions of Section 16 are met. The CBIC has prescribed the very procedure for verifying such differences for FY 2017-18 and 2018-19 — a certificate from a Chartered or Cost Accountant where the difference exceeds Rs. 5 lakh, otherwise a self-certified declaration, supported by supplier confirmation — which the registered person is ready to satisfy.</w:t>
      </w:r>
    </w:p>
    <w:p>
      <w:pPr>
        <w:pStyle w:val="Heading1"/>
        <w:spacing w:after="140" w:before="280"/>
      </w:pPr>
      <w:r>
        <w:rPr>
          <w:rFonts w:ascii="Times New Roman" w:cs="Times New Roman" w:eastAsia="Times New Roman" w:hAnsi="Times New Roman"/>
          <w:b/>
          <w:bCs/>
          <w:sz w:val="26"/>
          <w:szCs w:val="26"/>
        </w:rPr>
        <w:t xml:space="preserve">FACTUAL BACKGROUND</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notice states that, for FY 2018-19, GSTR-2A reflected credit of Rs. 100 whereas the registered person availed Rs. 120 (Table 6 / GSTR-3B), and proposes disallowance of the difference of Rs. 20 with penalty.</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credit availed is genuine: the registered person holds the tax invoices, received the goods / services, paid the value and tax through banking channels, and used the inputs in the course of business. The difference from GSTR-2A arises only because certain suppliers did not (or belatedly) reflect their invoices in their GSTR-1 for the period, a matter beyond the registered person’s control.</w:t>
      </w:r>
    </w:p>
    <w:p>
      <w:pPr>
        <w:pStyle w:val="Heading1"/>
        <w:spacing w:after="140" w:before="280"/>
      </w:pPr>
      <w:r>
        <w:rPr>
          <w:rFonts w:ascii="Times New Roman" w:cs="Times New Roman" w:eastAsia="Times New Roman" w:hAnsi="Times New Roman"/>
          <w:b/>
          <w:bCs/>
          <w:sz w:val="26"/>
          <w:szCs w:val="26"/>
        </w:rPr>
        <w:t xml:space="preserve">SUBMISSIONS</w:t>
      </w:r>
    </w:p>
    <w:p>
      <w:pPr>
        <w:spacing w:after="140" w:line="276"/>
        <w:ind w:left="720"/>
        <w:jc w:val="both"/>
      </w:pPr>
      <w:r>
        <w:rPr>
          <w:rFonts w:ascii="Times New Roman" w:cs="Times New Roman" w:eastAsia="Times New Roman" w:hAnsi="Times New Roman"/>
          <w:b/>
          <w:bCs/>
          <w:i/>
          <w:iCs/>
          <w:sz w:val="24"/>
          <w:szCs w:val="24"/>
        </w:rPr>
        <w:t xml:space="preserve">(a) Credit cannot be denied solely on a 2A / 3B difference. </w:t>
      </w:r>
      <w:r>
        <w:rPr>
          <w:rFonts w:ascii="Times New Roman" w:cs="Times New Roman" w:eastAsia="Times New Roman" w:hAnsi="Times New Roman"/>
          <w:sz w:val="24"/>
          <w:szCs w:val="24"/>
        </w:rPr>
        <w:t xml:space="preserve">For the period in question, GSTR-2A was not the sole determinant of eligibility; the substantive conditions of Section 16(2) — invoice, receipt, payment of tax to the Government, and return — govern. Where those are satisfied, a mere difference between GSTR-2A and the credit availed cannot, by itself, justify denial. So held the Kerala High Court in </w:t>
      </w:r>
      <w:r>
        <w:rPr>
          <w:rFonts w:ascii="Times New Roman" w:cs="Times New Roman" w:eastAsia="Times New Roman" w:hAnsi="Times New Roman"/>
          <w:i/>
          <w:iCs/>
          <w:sz w:val="24"/>
          <w:szCs w:val="24"/>
        </w:rPr>
        <w:t xml:space="preserve">Diya Agencies v. State Tax Officer</w:t>
      </w:r>
      <w:r>
        <w:rPr>
          <w:rFonts w:ascii="Times New Roman" w:cs="Times New Roman" w:eastAsia="Times New Roman" w:hAnsi="Times New Roman"/>
          <w:sz w:val="24"/>
          <w:szCs w:val="24"/>
        </w:rPr>
        <w:t xml:space="preserve">, W.P.(C) No. 29769 of 2023, dated 12 September 2023</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directing that the recipient not be denied credit solely on GSTR-2A non-reflection without examining its evidence. The Calcutta High Court took the same view in </w:t>
      </w:r>
      <w:r>
        <w:rPr>
          <w:rFonts w:ascii="Times New Roman" w:cs="Times New Roman" w:eastAsia="Times New Roman" w:hAnsi="Times New Roman"/>
          <w:i/>
          <w:iCs/>
          <w:sz w:val="24"/>
          <w:szCs w:val="24"/>
        </w:rPr>
        <w:t xml:space="preserve">Suncraft Energy Private Limited</w:t>
      </w:r>
      <w:r>
        <w:rPr>
          <w:rFonts w:ascii="Times New Roman" w:cs="Times New Roman" w:eastAsia="Times New Roman" w:hAnsi="Times New Roman"/>
          <w:sz w:val="24"/>
          <w:szCs w:val="24"/>
        </w:rPr>
        <w:t xml:space="preserve">, MAT 1218 of 2023, dated 2 August 2023</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The registered person candidly notes that the Revenue’s special leave petition against Suncraft was dismissed by the Supreme Court on 14 December 2023 having regard to the demand being “on the lower side,” and not on the merits; it is relied upon as persuasive High Court authority, and the registered person is aware of the contrary view of the Patna High Court in </w:t>
      </w:r>
      <w:r>
        <w:rPr>
          <w:rFonts w:ascii="Times New Roman" w:cs="Times New Roman" w:eastAsia="Times New Roman" w:hAnsi="Times New Roman"/>
          <w:i/>
          <w:iCs/>
          <w:sz w:val="24"/>
          <w:szCs w:val="24"/>
        </w:rPr>
        <w:t xml:space="preserve">Aastha Enterprises v. State of Bihar</w:t>
      </w:r>
      <w:r>
        <w:rPr>
          <w:rFonts w:ascii="Times New Roman" w:cs="Times New Roman" w:eastAsia="Times New Roman" w:hAnsi="Times New Roman"/>
          <w:i/>
          <w:iCs/>
          <w:sz w:val="24"/>
          <w:szCs w:val="24"/>
        </w:rPr>
        <w:t xml:space="preserve">. The buyer-protective line, reinforced by the CBIC’s own remedial circulars below, is the better view on the present facts.</w:t>
      </w:r>
    </w:p>
    <w:p>
      <w:pPr>
        <w:spacing w:after="140" w:line="276"/>
        <w:ind w:left="720"/>
        <w:jc w:val="both"/>
      </w:pPr>
      <w:r>
        <w:rPr>
          <w:rFonts w:ascii="Times New Roman" w:cs="Times New Roman" w:eastAsia="Times New Roman" w:hAnsi="Times New Roman"/>
          <w:b/>
          <w:bCs/>
          <w:i/>
          <w:iCs/>
          <w:sz w:val="24"/>
          <w:szCs w:val="24"/>
        </w:rPr>
        <w:t xml:space="preserve">(b) The CBIC’s prescribed verification procedure. </w:t>
      </w:r>
      <w:r>
        <w:rPr>
          <w:rFonts w:ascii="Times New Roman" w:cs="Times New Roman" w:eastAsia="Times New Roman" w:hAnsi="Times New Roman"/>
          <w:sz w:val="24"/>
          <w:szCs w:val="24"/>
        </w:rPr>
        <w:t xml:space="preserve">The CBIC, by Circular No. 183/15/2022-GST dated 27 December 2022</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prescribed the procedure to deal with GSTR-2A / GSTR-3B differences for FY 2017-18 and FY 2018-19: where the difference in respect of a supplier exceeds Rs. 5 lakh, the recipient is to produce a certificate from a Chartered Accountant or Cost Accountant certifying that the supplies were actually made and the tax paid; where it does not exceed Rs. 5 lakh, a self-certified declaration of the recipient suffices. Circular No. 193/05/2023-GST dated 17 July 2023</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extended this dispensation (with stated modifications) to the period from 1 April 2019. The registered person is ready to furnish the requisite certificate / declaration and supplier ledger confirmations.</w:t>
      </w:r>
    </w:p>
    <w:p>
      <w:pPr>
        <w:spacing w:after="140" w:line="276"/>
        <w:ind w:left="720"/>
        <w:jc w:val="both"/>
      </w:pPr>
      <w:r>
        <w:rPr>
          <w:rFonts w:ascii="Times New Roman" w:cs="Times New Roman" w:eastAsia="Times New Roman" w:hAnsi="Times New Roman"/>
          <w:b/>
          <w:bCs/>
          <w:i/>
          <w:iCs/>
          <w:sz w:val="24"/>
          <w:szCs w:val="24"/>
        </w:rPr>
        <w:t xml:space="preserve">(c) Conclusion. </w:t>
      </w:r>
      <w:r>
        <w:rPr>
          <w:rFonts w:ascii="Times New Roman" w:cs="Times New Roman" w:eastAsia="Times New Roman" w:hAnsi="Times New Roman"/>
          <w:sz w:val="24"/>
          <w:szCs w:val="24"/>
        </w:rPr>
        <w:t xml:space="preserve">The credit being genuine and verifiable in the manner the CBIC itself has prescribed, the proposed disallowance is unsustainable. The registered person prays that, on production of the certificate / declaration and supplier confirmations, the proceedings be dropped.</w:t>
      </w:r>
    </w:p>
    <w:p>
      <w:pPr>
        <w:spacing w:after="160" w:line="276"/>
        <w:jc w:val="both"/>
      </w:pPr>
      <w:r>
        <w:rPr>
          <w:rFonts w:ascii="Times New Roman" w:cs="Times New Roman" w:eastAsia="Times New Roman" w:hAnsi="Times New Roman"/>
          <w:b/>
          <w:bCs/>
          <w:i/>
          <w:iCs/>
          <w:sz w:val="24"/>
          <w:szCs w:val="24"/>
        </w:rPr>
        <w:t xml:space="preserve">Note on the Section 128A waiver (for the record): </w:t>
      </w:r>
      <w:r>
        <w:rPr>
          <w:rFonts w:ascii="Times New Roman" w:cs="Times New Roman" w:eastAsia="Times New Roman" w:hAnsi="Times New Roman"/>
          <w:i/>
          <w:iCs/>
          <w:sz w:val="24"/>
          <w:szCs w:val="24"/>
        </w:rPr>
        <w:t xml:space="preserve">this demand pertains to a financial year (FY 2017-18, 2018-19 or 2019-20) for which Section 128A offered a waiver of interest and penalty on payment of the tax, subject to payment by 31 March 2025 and application (FORM GST SPL-01/SPL-02) by 30 June 2025. Those statutory cut-offs having passed, the 128A route is no longer available; the matter is therefore contested on merits. The note is retained only to record that the amnesty option was considered and has lapsed.</w:t>
      </w:r>
    </w:p>
    <w:p>
      <w:pPr>
        <w:pStyle w:val="Heading1"/>
        <w:spacing w:after="140" w:before="280"/>
      </w:pPr>
      <w:r>
        <w:rPr>
          <w:rFonts w:ascii="Times New Roman" w:cs="Times New Roman" w:eastAsia="Times New Roman" w:hAnsi="Times New Roman"/>
          <w:b/>
          <w:bCs/>
          <w:sz w:val="26"/>
          <w:szCs w:val="26"/>
        </w:rPr>
        <w:t xml:space="preserve">PRAYER</w:t>
      </w:r>
    </w:p>
    <w:p>
      <w:pPr>
        <w:spacing w:after="160" w:line="276"/>
        <w:jc w:val="both"/>
      </w:pPr>
      <w:r>
        <w:rPr>
          <w:rFonts w:ascii="Times New Roman" w:cs="Times New Roman" w:eastAsia="Times New Roman" w:hAnsi="Times New Roman"/>
          <w:sz w:val="24"/>
          <w:szCs w:val="24"/>
        </w:rPr>
        <w:t xml:space="preserve">It is prayed that the proposed disallowance be dropped, the credit being genuine and supported in terms of Circulars 183/15/2022-GST and 193/05/2023-GST; that the registered person be permitted to file the CA/CMA certificate or self-certified declaration with supplier confirmations; and that a hearing be granted before any adverse order.</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2026-06-13T08:13:09.990Z</dcterms:created>
  <dcterms:modified xsi:type="dcterms:W3CDTF">2026-06-13T08:13:09.990Z</dcterms:modified>
</cp:coreProperties>
</file>

<file path=docProps/custom.xml><?xml version="1.0" encoding="utf-8"?>
<Properties xmlns="http://schemas.openxmlformats.org/officeDocument/2006/custom-properties" xmlns:vt="http://schemas.openxmlformats.org/officeDocument/2006/docPropsVTypes"/>
</file>