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under Section 65 of the CGST/SGST Act, 2017 calling for documents for audit for FY 2017-18 to 2019-20 — the registration having since been cancelled.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This reply takes the jurisdictional objection while reserving the registered person’s position to co-operate to the extent the law requires.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office has issued a notice under Section 65 calling for documents to conduct an audit for FY 2017-18 to 2019-20. The registered person’s registration has, however, since been cancelled. Section 65 empowers the authorities to undertake audit of “any registered person.” The registered person therefore raises, for the office’s consideration, the jurisdictional question whether a Section 65 audit lies against a person whose registration already stands cancelled, and seeks clarification before the audit proceeds. This is without prejudice to the Department’s power to invoke any other appropriate provision, and to the registered person’s continuing liability for the pre-cancellation period under Section 29(3).</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applied for cancellation of its registration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the proper officer cancelled the registration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after verification. Thereafter, the office issued a notice under Section 65 calling for documents for audit for FY 2017-18 to 2019-20.</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65(1) empowers the Commissioner or an authorised officer to undertake audit of “any registered person” for the prescribed period, frequency and manner; sub-section (3) requires not less than fifteen working days’ prior notice. The provision is, by its terms, addressed to a “registered person.”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As the registered person’s registration stands cancelled, it respectfully raises the question whether a Section 65 audit is the appropriate course, and seeks the office’s clarification before complying, so that the exercise is grounded in the correct provision. The registered person does not seek to evade scrutiny: its liability for the period prior to cancellation continues under Section 29(3) notwithstanding the cancellation, and it is willing to furnish its records in any proceeding lawfully initiated under the appropriate provision (for instance, Sections 73/74, with their own safeguards and limitation).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On this question the registered person respectfully draws attention to </w:t>
      </w:r>
      <w:r>
        <w:rPr>
          <w:rFonts w:ascii="Times New Roman" w:cs="Times New Roman" w:eastAsia="Times New Roman" w:hAnsi="Times New Roman"/>
          <w:i/>
          <w:iCs/>
          <w:sz w:val="24"/>
          <w:szCs w:val="24"/>
        </w:rPr>
        <w:t xml:space="preserve">Tvl. Raja Stores v. Assistant Commissioner (ST)</w:t>
      </w:r>
      <w:r>
        <w:rPr>
          <w:rFonts w:ascii="Times New Roman" w:cs="Times New Roman" w:eastAsia="Times New Roman" w:hAnsi="Times New Roman"/>
          <w:sz w:val="24"/>
          <w:szCs w:val="24"/>
        </w:rPr>
        <w:t xml:space="preserve">, Madras High Court (Madurai Bench), W.P.(MD) No. 15291 of 2023, dated 11 August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holding that Section 65 applies only to a “registered person” and an audit notice cannot be issued to a person whose registration is already cancelled, the Department being free to proceed under Sections 73/74. </w:t>
      </w:r>
      <w:r>
        <w:rPr>
          <w:rFonts w:ascii="Times New Roman" w:cs="Times New Roman" w:eastAsia="Times New Roman" w:hAnsi="Times New Roman"/>
          <w:i/>
          <w:iCs/>
          <w:sz w:val="24"/>
          <w:szCs w:val="24"/>
        </w:rPr>
        <w:t xml:space="preserve">The registered person fairly notes that this question is not uniformly settled, some authority reading Section 29(3) to permit scrutiny of pre-cancellation periods; it is raised for the office’s consideration rather than as a bar to all proceedings.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In the meantime, and without prejudice to the above, the registered person is, as a measure of co-operation, willing to make available such records as it retains, subject to the office confirming the provision under which the exercise is undertaken and allowing the statutory notice period.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office clarify the basis for proceeding under Section 65 against a person whose registration stands cancelled and, if so advised, proceed under the appropriate provision with the applicable safeguards; the registered person remaining willing to co-operate in any lawfully initiated proceeding for the pre-cancellation period;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2026-06-13T08:13:10.110Z</dcterms:created>
  <dcterms:modified xsi:type="dcterms:W3CDTF">2026-06-13T08:13:10.110Z</dcterms:modified>
</cp:coreProperties>
</file>

<file path=docProps/custom.xml><?xml version="1.0" encoding="utf-8"?>
<Properties xmlns="http://schemas.openxmlformats.org/officeDocument/2006/custom-properties" xmlns:vt="http://schemas.openxmlformats.org/officeDocument/2006/docPropsVTypes"/>
</file>