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in FORM GST DRC-01 proposing reversal of input tax credit on steel, cement, etc. as blocked under Section 17(5) — the goods having been used for plant and machinery (including its foundation and structural support), not for construction of immovable property.</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(originally Rajasthan) to be reconciled.</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treats the input tax credit on steel, cement and like goods as blocked under Section 17(5)(d). That clause blocks credit on goods used for construction of an immovable property “other than plant or machinery.” The goods here were used for plant and machinery, including its foundation and structural support, which the Explanation to Section 17 expressly includes within “plant and machinery.” The credit is therefore not blocked and is admissible.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registered person used the steel, cement and allied goods in the erection of plant and machinery and its foundation and structural support, capitalised as plant and machinery in its accounts. The increase in the plant-and-machinery block in the balance sheet, and an architect’s / valuer’s report identifying the goods as used for the foundation and structural support of the plant and machinery, are enclosed.</w:t>
      </w:r>
    </w:p>
    <w:p>
      <w:pPr>
        <w:pStyle w:val="Heading1"/>
        <w:spacing w:after="140" w:before="280"/>
      </w:pPr>
      <w:r>
        <w:rPr>
          <w:rFonts w:ascii="Times New Roman" w:cs="Times New Roman" w:eastAsia="Times New Roman" w:hAnsi="Times New Roman"/>
          <w:b/>
          <w:bCs/>
          <w:sz w:val="26"/>
          <w:szCs w:val="26"/>
        </w:rPr>
        <w:t xml:space="preserve">SUBMISSIONS</w:t>
      </w:r>
    </w:p>
    <w:p>
      <w:pPr>
        <w:spacing w:after="140" w:line="276"/>
        <w:ind w:left="720"/>
        <w:jc w:val="both"/>
      </w:pPr>
      <w:r>
        <w:rPr>
          <w:rFonts w:ascii="Times New Roman" w:cs="Times New Roman" w:eastAsia="Times New Roman" w:hAnsi="Times New Roman"/>
          <w:b/>
          <w:bCs/>
          <w:i/>
          <w:iCs/>
          <w:sz w:val="24"/>
          <w:szCs w:val="24"/>
        </w:rPr>
        <w:t xml:space="preserve">(a) The Section 17(5)(d) bar excepts plant and machinery. </w:t>
      </w:r>
      <w:r>
        <w:rPr>
          <w:rFonts w:ascii="Times New Roman" w:cs="Times New Roman" w:eastAsia="Times New Roman" w:hAnsi="Times New Roman"/>
          <w:sz w:val="24"/>
          <w:szCs w:val="24"/>
        </w:rPr>
        <w:t xml:space="preserve">Section 17(5)(d) blocks credit on goods received for construction of an immovable property “other than plant and machinery.” (The clause earlier read “plant or machinery”; by Section 119 of the Finance Act, 2025 the words were substituted with “plant and machinery” with retrospective effect from 1 July 2017, with a deeming Explanation overriding any contrary view. Nothing turns on the change here, because the relief claimed rests on the inclusion of foundation and structural support within the defined term, which is unaffected.) The exception for plant and machinery takes the present case outside the bar.</w:t>
      </w:r>
    </w:p>
    <w:p>
      <w:pPr>
        <w:spacing w:after="140" w:line="276"/>
        <w:ind w:left="720"/>
        <w:jc w:val="both"/>
      </w:pPr>
      <w:r>
        <w:rPr>
          <w:rFonts w:ascii="Times New Roman" w:cs="Times New Roman" w:eastAsia="Times New Roman" w:hAnsi="Times New Roman"/>
          <w:b/>
          <w:bCs/>
          <w:i/>
          <w:iCs/>
          <w:sz w:val="24"/>
          <w:szCs w:val="24"/>
        </w:rPr>
        <w:t xml:space="preserve">(b) “Plant and machinery” includes foundation and structural support. </w:t>
      </w:r>
      <w:r>
        <w:rPr>
          <w:rFonts w:ascii="Times New Roman" w:cs="Times New Roman" w:eastAsia="Times New Roman" w:hAnsi="Times New Roman"/>
          <w:sz w:val="24"/>
          <w:szCs w:val="24"/>
        </w:rPr>
        <w:t xml:space="preserve">The Explanation to Section 17 defines “plant and machinery” as apparatus, equipment and machinery fixed to earth by foundation or structural support used for making outward supply, and expressly “includes such foundation and structural supports,” while excluding land, buildings and other civil structures, telecom towers and pipelines outside the factory. The steel and cement used for the foundation and structural support of the plant and machinery thus fall within ‘plant and machinery,’ not within the blocked ‘construction of immovable property.’</w:t>
      </w:r>
    </w:p>
    <w:p>
      <w:pPr>
        <w:spacing w:after="140" w:line="276"/>
        <w:ind w:left="720"/>
        <w:jc w:val="both"/>
      </w:pPr>
      <w:r>
        <w:rPr>
          <w:rFonts w:ascii="Times New Roman" w:cs="Times New Roman" w:eastAsia="Times New Roman" w:hAnsi="Times New Roman"/>
          <w:b/>
          <w:bCs/>
          <w:i/>
          <w:iCs/>
          <w:sz w:val="24"/>
          <w:szCs w:val="24"/>
        </w:rPr>
        <w:t xml:space="preserve">(c) Evidence and clarificatory guidance. </w:t>
      </w:r>
      <w:r>
        <w:rPr>
          <w:rFonts w:ascii="Times New Roman" w:cs="Times New Roman" w:eastAsia="Times New Roman" w:hAnsi="Times New Roman"/>
          <w:sz w:val="24"/>
          <w:szCs w:val="24"/>
        </w:rPr>
        <w:t xml:space="preserve">The capitalisation of the goods as plant and machinery (reflected in the balance-sheet movement) and the architect’s / valuer’s report establish the use. The CBIC FAQ likewise clarifies that credit is available for plant and machinery though not for construction of a building; it is relied upon as persuasive guidance, the entitlement flowing from the Explanation itself.</w:t>
      </w:r>
    </w:p>
    <w:p>
      <w:pPr>
        <w:spacing w:after="140" w:line="276"/>
        <w:ind w:left="720"/>
        <w:jc w:val="both"/>
      </w:pPr>
      <w:r>
        <w:rPr>
          <w:rFonts w:ascii="Times New Roman" w:cs="Times New Roman" w:eastAsia="Times New Roman" w:hAnsi="Times New Roman"/>
          <w:b/>
          <w:bCs/>
          <w:i/>
          <w:iCs/>
          <w:sz w:val="24"/>
          <w:szCs w:val="24"/>
        </w:rPr>
        <w:t xml:space="preserve">(d) Conclusion. </w:t>
      </w:r>
      <w:r>
        <w:rPr>
          <w:rFonts w:ascii="Times New Roman" w:cs="Times New Roman" w:eastAsia="Times New Roman" w:hAnsi="Times New Roman"/>
          <w:sz w:val="24"/>
          <w:szCs w:val="24"/>
        </w:rPr>
        <w:t xml:space="preserve">The goods having been used for plant and machinery and its foundation/structural support, the credit is admissible and the proposed reversal is unsustainable.</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notice be dropped, the input tax credit on goods used for plant and machinery (including foundation and structural support) not being blocked under Section 17(5)(d); and that a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2026-06-13T08:13:10.256Z</dcterms:created>
  <dcterms:modified xsi:type="dcterms:W3CDTF">2026-06-13T08:13:10.257Z</dcterms:modified>
</cp:coreProperties>
</file>

<file path=docProps/custom.xml><?xml version="1.0" encoding="utf-8"?>
<Properties xmlns="http://schemas.openxmlformats.org/officeDocument/2006/custom-properties" xmlns:vt="http://schemas.openxmlformats.org/officeDocument/2006/docPropsVTypes"/>
</file>