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penalty on input tax credit said to be wrongly availed — the credit not having been utilised, so that no interest arises under Section 50(3) and, consequently, no penalty.</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Electronic-credit-ledger balances to be completed from the ledger.</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penalty (and interest) on input tax credit said to have been wrongly availed in error. The credit was, however, never utilised — the balance of the electronic credit ledger never fell below the wrongly availed amount — and it has since been reversed. Under Section 50(3), interest is chargeable only on credit “wrongly availed and utilised”; no interest therefore arises, and once interest does not arise, the penalty too cannot be sustained.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inadvertently availed input tax credit in error. It did not utilise that credit — the electronic-credit-ledger balance remained at or above the amount throughout — and it has since reversed the credit (through FORM GST DRC-03 / in the GSTR-3B for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as evidenced by the enclosed ledger extract and reversal proof.</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50(3) levies interest only where input tax credit has been “wrongly availed and utilised.” Mere availment, without utilisation, does not attract interest; Rule 88B treats wrongly availed credit as utilised only when the electronic-credit-ledger balance falls below the wrongly availed amount. Here the balance never fell below that amount, so no interest is chargeable.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Once no interest is chargeable, no penalty can be imposed. This is supported by the Punjab and Haryana High Court in </w:t>
      </w:r>
      <w:r>
        <w:rPr>
          <w:rFonts w:ascii="Times New Roman" w:cs="Times New Roman" w:eastAsia="Times New Roman" w:hAnsi="Times New Roman"/>
          <w:i/>
          <w:iCs/>
          <w:sz w:val="24"/>
          <w:szCs w:val="24"/>
        </w:rPr>
        <w:t xml:space="preserve">Deepak Sales Corporation v. Union of India</w:t>
      </w:r>
      <w:r>
        <w:rPr>
          <w:rFonts w:ascii="Times New Roman" w:cs="Times New Roman" w:eastAsia="Times New Roman" w:hAnsi="Times New Roman"/>
          <w:sz w:val="24"/>
          <w:szCs w:val="24"/>
        </w:rPr>
        <w:t xml:space="preserve">, CWP No. 283 of 2023, dated 21 September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where, the excess credit having been entered but never utilised and reversed before utilisation, the Court held that neither interest nor penalty was tenable; and by the Patna High Court in </w:t>
      </w:r>
      <w:r>
        <w:rPr>
          <w:rFonts w:ascii="Times New Roman" w:cs="Times New Roman" w:eastAsia="Times New Roman" w:hAnsi="Times New Roman"/>
          <w:i/>
          <w:iCs/>
          <w:sz w:val="24"/>
          <w:szCs w:val="24"/>
        </w:rPr>
        <w:t xml:space="preserve">Commercial Steel Engineering Corporation v. State of Bihar</w:t>
      </w:r>
      <w:r>
        <w:rPr>
          <w:rFonts w:ascii="Times New Roman" w:cs="Times New Roman" w:eastAsia="Times New Roman" w:hAnsi="Times New Roman"/>
          <w:sz w:val="24"/>
          <w:szCs w:val="24"/>
        </w:rPr>
        <w:t xml:space="preserve">, CWJC No. 2125 of 2019, dated 27 June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quashed a demand of interest and penalty where the credit ledger reflected an unutilised (indeed credit) balance (the final-order date to be confirmed from the order copy). The line continues in recent authority: the Calcutta High Court in </w:t>
      </w:r>
      <w:r>
        <w:rPr>
          <w:rFonts w:ascii="Times New Roman" w:cs="Times New Roman" w:eastAsia="Times New Roman" w:hAnsi="Times New Roman"/>
          <w:i/>
          <w:iCs/>
          <w:sz w:val="24"/>
          <w:szCs w:val="24"/>
        </w:rPr>
        <w:t xml:space="preserve">Utpal Das v. State of West Bengal</w:t>
      </w:r>
      <w:r>
        <w:rPr>
          <w:rFonts w:ascii="Times New Roman" w:cs="Times New Roman" w:eastAsia="Times New Roman" w:hAnsi="Times New Roman"/>
          <w:sz w:val="24"/>
          <w:szCs w:val="24"/>
        </w:rPr>
        <w:t xml:space="preserve">, W.P.A. No. 18241 of 2022, dated 18 July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(mere availment without utilisation attracts no interest under Section 50(3)) and the Orissa High Court in </w:t>
      </w:r>
      <w:r>
        <w:rPr>
          <w:rFonts w:ascii="Times New Roman" w:cs="Times New Roman" w:eastAsia="Times New Roman" w:hAnsi="Times New Roman"/>
          <w:i/>
          <w:iCs/>
          <w:sz w:val="24"/>
          <w:szCs w:val="24"/>
        </w:rPr>
        <w:t xml:space="preserve">Manoja Kumar Nayak</w:t>
      </w:r>
      <w:r>
        <w:rPr>
          <w:rFonts w:ascii="Times New Roman" w:cs="Times New Roman" w:eastAsia="Times New Roman" w:hAnsi="Times New Roman"/>
          <w:sz w:val="24"/>
          <w:szCs w:val="24"/>
        </w:rPr>
        <w:t xml:space="preserve">, W.P.(C) No. 12686 of 2025, dated 8 April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(utilisation tested on the total ledger balance, not head-wise; demanding the reversed amount again amounts to double taxation), together with CBIC Circular No. 192/04/2023-GST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on the ledger-balance approach to interest under Rule 88B.</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credit having been availed in error, never utilised, and duly reversed, neither interest under Section 50(3) nor penalty is exigible. The proceedings ought to be dropped.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wrongly availed credit not having been utilised and having been reversed, so that no interest arises under Section 50(3) and no penalty is exigible;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2026-06-13T08:13:10.390Z</dcterms:created>
  <dcterms:modified xsi:type="dcterms:W3CDTF">2026-06-13T08:13:10.390Z</dcterms:modified>
</cp:coreProperties>
</file>

<file path=docProps/custom.xml><?xml version="1.0" encoding="utf-8"?>
<Properties xmlns="http://schemas.openxmlformats.org/officeDocument/2006/custom-properties" xmlns:vt="http://schemas.openxmlformats.org/officeDocument/2006/docPropsVTypes"/>
</file>