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rPr>
          <w:rFonts w:ascii="Times New Roman" w:cs="Times New Roman" w:eastAsia="Times New Roman" w:hAnsi="Times New Roman"/>
          <w:b/>
          <w:bCs/>
          <w:sz w:val="24"/>
          <w:szCs w:val="24"/>
        </w:rPr>
        <w:t xml:space="preserve">To,</w:t>
      </w:r>
    </w:p>
    <w:p>
      <w:pPr>
        <w:spacing w:after="60"/>
        <w:jc w:val="left"/>
      </w:pPr>
      <w:r>
        <w:rPr>
          <w:rFonts w:ascii="Times New Roman" w:cs="Times New Roman" w:eastAsia="Times New Roman" w:hAnsi="Times New Roman"/>
          <w:sz w:val="24"/>
          <w:szCs w:val="24"/>
        </w:rPr>
        <w:t xml:space="preserve">The Proper Officer (State Tax) / </w:t>
      </w:r>
      <w:r>
        <w:rPr>
          <w:rFonts w:ascii="Times New Roman" w:cs="Times New Roman" w:eastAsia="Times New Roman" w:hAnsi="Times New Roman"/>
          <w:b/>
          <w:bCs/>
          <w:sz w:val="24"/>
          <w:szCs w:val="24"/>
        </w:rPr>
        <w:t xml:space="preserve">[Designation]</w:t>
      </w:r>
    </w:p>
    <w:p>
      <w:pPr>
        <w:spacing w:after="60"/>
        <w:jc w:val="left"/>
      </w:pPr>
      <w:r>
        <w:rPr>
          <w:rFonts w:ascii="Times New Roman" w:cs="Times New Roman" w:eastAsia="Times New Roman" w:hAnsi="Times New Roman"/>
          <w:b/>
          <w:bCs/>
          <w:sz w:val="24"/>
          <w:szCs w:val="24"/>
        </w:rPr>
        <w:t xml:space="preserve">[Ward / Circle / Jurisdiction]</w:t>
      </w:r>
    </w:p>
    <w:p>
      <w:pPr>
        <w:spacing w:after="60"/>
        <w:jc w:val="left"/>
      </w:pPr>
      <w:r>
        <w:rPr>
          <w:rFonts w:ascii="Times New Roman" w:cs="Times New Roman" w:eastAsia="Times New Roman" w:hAnsi="Times New Roman"/>
          <w:b/>
          <w:bCs/>
          <w:sz w:val="24"/>
          <w:szCs w:val="24"/>
        </w:rPr>
        <w:t xml:space="preserve">[Office Address]</w:t>
      </w:r>
    </w:p>
    <w:p>
      <w:pPr>
        <w:spacing w:after="120"/>
      </w:pPr>
    </w:p>
    <w:p>
      <w:pPr>
        <w:spacing w:after="160" w:line="276"/>
        <w:jc w:val="both"/>
      </w:pPr>
      <w:r>
        <w:rPr>
          <w:rFonts w:ascii="Times New Roman" w:cs="Times New Roman" w:eastAsia="Times New Roman" w:hAnsi="Times New Roman"/>
          <w:b/>
          <w:bCs/>
          <w:sz w:val="24"/>
          <w:szCs w:val="24"/>
        </w:rPr>
        <w:t xml:space="preserve">Subject: </w:t>
      </w:r>
      <w:r>
        <w:rPr>
          <w:rFonts w:ascii="Times New Roman" w:cs="Times New Roman" w:eastAsia="Times New Roman" w:hAnsi="Times New Roman"/>
          <w:sz w:val="24"/>
          <w:szCs w:val="24"/>
        </w:rPr>
        <w:t xml:space="preserve">Reply to the show cause notice in FORM GST DRC-01 under Section 73 for FY 2017-18 — the notice being barred by limitation, having been issued beyond the time prescribed by Section 73 read with the extended due dates.</w:t>
      </w:r>
    </w:p>
    <w:p>
      <w:pPr>
        <w:spacing w:after="160" w:line="276"/>
        <w:jc w:val="both"/>
      </w:pPr>
      <w:r>
        <w:rPr>
          <w:rFonts w:ascii="Times New Roman" w:cs="Times New Roman" w:eastAsia="Times New Roman" w:hAnsi="Times New Roman"/>
          <w:i/>
          <w:iCs/>
          <w:sz w:val="24"/>
          <w:szCs w:val="24"/>
        </w:rPr>
        <w:t xml:space="preserve">Drafting note (to be removed before filing): </w:t>
      </w:r>
      <w:r>
        <w:rPr>
          <w:rFonts w:ascii="Times New Roman" w:cs="Times New Roman" w:eastAsia="Times New Roman" w:hAnsi="Times New Roman"/>
          <w:i/>
          <w:iCs/>
          <w:sz w:val="24"/>
          <w:szCs w:val="24"/>
        </w:rPr>
        <w:t xml:space="preserve">Place of execution Mumbai; addressee jurisdiction (originally Rajasthan) to be reconciled. The limitation computation turns on the applicable extension Notification(s) under Section 168A; the exact dates must be applied to the SCN/order in question, and the recent Supreme Court consideration of the Section 168A extensions noted (see Flag).</w:t>
      </w:r>
    </w:p>
    <w:p>
      <w:pPr>
        <w:pStyle w:val="Heading1"/>
        <w:spacing w:after="140" w:before="280"/>
      </w:pPr>
      <w:r>
        <w:rPr>
          <w:rFonts w:ascii="Times New Roman" w:cs="Times New Roman" w:eastAsia="Times New Roman" w:hAnsi="Times New Roman"/>
          <w:b/>
          <w:bCs/>
          <w:sz w:val="26"/>
          <w:szCs w:val="26"/>
        </w:rPr>
        <w:t xml:space="preserve">SYNOPSIS</w:t>
      </w:r>
    </w:p>
    <w:p>
      <w:pPr>
        <w:spacing w:after="160" w:line="276"/>
        <w:jc w:val="both"/>
      </w:pPr>
      <w:r>
        <w:rPr>
          <w:rFonts w:ascii="Times New Roman" w:cs="Times New Roman" w:eastAsia="Times New Roman" w:hAnsi="Times New Roman"/>
          <w:sz w:val="24"/>
          <w:szCs w:val="24"/>
        </w:rPr>
        <w:t xml:space="preserve">The notice under Section 73 for FY 2017-18 has been issued beyond the period of limitation. Section 73(10) requires the order within three years of the due date of the annual return, and Section 73(2) requires the notice at least three months before that limit. Even taking the extended order-limitation date for FY 2017-18 under the Section 168A notifications, the notice is out of time. A notice issued beyond limitation is without jurisdiction and is liable to be dropped.</w:t>
      </w:r>
    </w:p>
    <w:p>
      <w:pPr>
        <w:pStyle w:val="Heading1"/>
        <w:spacing w:after="140" w:before="280"/>
      </w:pPr>
      <w:r>
        <w:rPr>
          <w:rFonts w:ascii="Times New Roman" w:cs="Times New Roman" w:eastAsia="Times New Roman" w:hAnsi="Times New Roman"/>
          <w:b/>
          <w:bCs/>
          <w:sz w:val="26"/>
          <w:szCs w:val="26"/>
        </w:rPr>
        <w:t xml:space="preserve">FACTUAL BACKGROUND</w:t>
      </w:r>
    </w:p>
    <w:p>
      <w:pPr>
        <w:pStyle w:val="ListParagraph"/>
        <w:numPr>
          <w:ilvl w:val="0"/>
          <w:numId w:val="2"/>
        </w:numPr>
        <w:spacing w:after="160" w:line="276"/>
        <w:jc w:val="both"/>
      </w:pPr>
      <w:r>
        <w:rPr>
          <w:rFonts w:ascii="Times New Roman" w:cs="Times New Roman" w:eastAsia="Times New Roman" w:hAnsi="Times New Roman"/>
          <w:sz w:val="24"/>
          <w:szCs w:val="24"/>
        </w:rPr>
        <w:t xml:space="preserve">The registered person received a show cause notice in FORM GST DRC-01 under Section 73 for FY 2017-18 on </w:t>
      </w:r>
      <w:r>
        <w:rPr>
          <w:rFonts w:ascii="Times New Roman" w:cs="Times New Roman" w:eastAsia="Times New Roman" w:hAnsi="Times New Roman"/>
          <w:b/>
          <w:bCs/>
          <w:sz w:val="24"/>
          <w:szCs w:val="24"/>
        </w:rPr>
        <w:t xml:space="preserve">[____]</w:t>
      </w:r>
      <w:r>
        <w:rPr>
          <w:rFonts w:ascii="Times New Roman" w:cs="Times New Roman" w:eastAsia="Times New Roman" w:hAnsi="Times New Roman"/>
          <w:sz w:val="24"/>
          <w:szCs w:val="24"/>
        </w:rPr>
        <w:t xml:space="preserve">.</w:t>
      </w:r>
    </w:p>
    <w:p>
      <w:pPr>
        <w:pStyle w:val="ListParagraph"/>
        <w:numPr>
          <w:ilvl w:val="0"/>
          <w:numId w:val="2"/>
        </w:numPr>
        <w:spacing w:after="160" w:line="276"/>
        <w:jc w:val="both"/>
      </w:pPr>
      <w:r>
        <w:rPr>
          <w:rFonts w:ascii="Times New Roman" w:cs="Times New Roman" w:eastAsia="Times New Roman" w:hAnsi="Times New Roman"/>
          <w:sz w:val="24"/>
          <w:szCs w:val="24"/>
        </w:rPr>
        <w:t xml:space="preserve">The due date of the annual return for FY 2017-18, as extended, was in early February 2020; the three-year order limitation under Section 73(10) was thereafter extended for FY 2017-18 up to 31 December 2023 by Notification No. 09/2023-Central Tax (the position earlier reflected in Notification No. 13/2022-Central Tax dated 5 July 2022</w:t>
      </w:r>
      <w:r>
        <w:rPr>
          <w:rFonts w:ascii="Times New Roman" w:cs="Times New Roman" w:eastAsia="Times New Roman" w:hAnsi="Times New Roman"/>
          <w:b/>
          <w:bCs/>
          <w:sz w:val="24"/>
          <w:szCs w:val="24"/>
        </w:rPr>
        <w:t xml:space="preserve"> [VERIFY]</w:t>
      </w:r>
      <w:r>
        <w:rPr>
          <w:rFonts w:ascii="Times New Roman" w:cs="Times New Roman" w:eastAsia="Times New Roman" w:hAnsi="Times New Roman"/>
          <w:sz w:val="24"/>
          <w:szCs w:val="24"/>
        </w:rPr>
        <w:t xml:space="preserve">). Section 73(2) correspondingly required the notice at least three months before that date, i.e. by 30 September 2023.</w:t>
      </w:r>
    </w:p>
    <w:p>
      <w:pPr>
        <w:pStyle w:val="Heading1"/>
        <w:spacing w:after="140" w:before="280"/>
      </w:pPr>
      <w:r>
        <w:rPr>
          <w:rFonts w:ascii="Times New Roman" w:cs="Times New Roman" w:eastAsia="Times New Roman" w:hAnsi="Times New Roman"/>
          <w:b/>
          <w:bCs/>
          <w:sz w:val="26"/>
          <w:szCs w:val="26"/>
        </w:rPr>
        <w:t xml:space="preserve">SUBMISSIONS</w:t>
      </w:r>
    </w:p>
    <w:p>
      <w:pPr>
        <w:pStyle w:val="ListParagraph"/>
        <w:numPr>
          <w:ilvl w:val="0"/>
          <w:numId w:val="3"/>
        </w:numPr>
        <w:spacing w:after="160" w:line="276"/>
        <w:jc w:val="both"/>
      </w:pPr>
      <w:r>
        <w:rPr>
          <w:rFonts w:ascii="Times New Roman" w:cs="Times New Roman" w:eastAsia="Times New Roman" w:hAnsi="Times New Roman"/>
          <w:sz w:val="24"/>
          <w:szCs w:val="24"/>
        </w:rPr>
        <w:t xml:space="preserve">Section 73(10) prescribes a three-year period for the order, reckoned from the due date of the annual return, and Section 73(2) requires the notice to issue at least three months before that limit. For FY 2017-18, with the order-limitation date extended to 31 December 2023, the last date to issue the notice was 30 September 2023.</w:t>
      </w:r>
    </w:p>
    <w:p>
      <w:pPr>
        <w:pStyle w:val="ListParagraph"/>
        <w:numPr>
          <w:ilvl w:val="0"/>
          <w:numId w:val="3"/>
        </w:numPr>
        <w:spacing w:after="160" w:line="276"/>
        <w:jc w:val="both"/>
      </w:pPr>
      <w:r>
        <w:rPr>
          <w:rFonts w:ascii="Times New Roman" w:cs="Times New Roman" w:eastAsia="Times New Roman" w:hAnsi="Times New Roman"/>
          <w:sz w:val="24"/>
          <w:szCs w:val="24"/>
        </w:rPr>
        <w:t xml:space="preserve">The notice in the present case having been issued after 30 September 2023 is beyond the period prescribed and is therefore time-barred. Limitation goes to jurisdiction; a notice issued out of time cannot be cured and the proceedings founded on it are liable to be dropped.</w:t>
      </w:r>
    </w:p>
    <w:p>
      <w:pPr>
        <w:pStyle w:val="ListParagraph"/>
        <w:numPr>
          <w:ilvl w:val="0"/>
          <w:numId w:val="3"/>
        </w:numPr>
        <w:spacing w:after="160" w:line="276"/>
        <w:jc w:val="both"/>
      </w:pPr>
      <w:r>
        <w:rPr>
          <w:rFonts w:ascii="Times New Roman" w:cs="Times New Roman" w:eastAsia="Times New Roman" w:hAnsi="Times New Roman"/>
          <w:i/>
          <w:iCs/>
          <w:sz w:val="24"/>
          <w:szCs w:val="24"/>
        </w:rPr>
        <w:t xml:space="preserve">Note for the record: </w:t>
      </w:r>
      <w:r>
        <w:rPr>
          <w:rFonts w:ascii="Times New Roman" w:cs="Times New Roman" w:eastAsia="Times New Roman" w:hAnsi="Times New Roman"/>
          <w:sz w:val="24"/>
          <w:szCs w:val="24"/>
        </w:rPr>
        <w:t xml:space="preserve">the validity of the successive Section 168A extension notifications (including Notifications 13/2022, 09/2023 and 56/2023-Central Tax) is presently sub judice before the Supreme Court in </w:t>
      </w:r>
      <w:r>
        <w:rPr>
          <w:rFonts w:ascii="Times New Roman" w:cs="Times New Roman" w:eastAsia="Times New Roman" w:hAnsi="Times New Roman"/>
          <w:i/>
          <w:iCs/>
          <w:sz w:val="24"/>
          <w:szCs w:val="24"/>
        </w:rPr>
        <w:t xml:space="preserve">M/s HCC-SEW-MEIL-AAG JV v. Assistant Commissioner of State Tax</w:t>
      </w:r>
      <w:r>
        <w:rPr>
          <w:rFonts w:ascii="Times New Roman" w:cs="Times New Roman" w:eastAsia="Times New Roman" w:hAnsi="Times New Roman"/>
          <w:sz w:val="24"/>
          <w:szCs w:val="24"/>
        </w:rPr>
        <w:t xml:space="preserve">, SLP(C) No. 4240 of 2025, with connected matters. The High Courts are divided — the Allahabad, Patna and Telangana High Courts having upheld the notifications, while the Gauhati High Court and the Madras High Court (in </w:t>
      </w:r>
      <w:r>
        <w:rPr>
          <w:rFonts w:ascii="Times New Roman" w:cs="Times New Roman" w:eastAsia="Times New Roman" w:hAnsi="Times New Roman"/>
          <w:i/>
          <w:iCs/>
          <w:sz w:val="24"/>
          <w:szCs w:val="24"/>
        </w:rPr>
        <w:t xml:space="preserve">Tata Play Ltd v. Union of India</w:t>
      </w:r>
      <w:r>
        <w:rPr>
          <w:rFonts w:ascii="Times New Roman" w:cs="Times New Roman" w:eastAsia="Times New Roman" w:hAnsi="Times New Roman"/>
          <w:sz w:val="24"/>
          <w:szCs w:val="24"/>
        </w:rPr>
        <w:t xml:space="preserve">) struck down Notification 56/2023 as ultra vires Section 168A. The limitation plea is accordingly taken on the footing of the dates as they stand and as an as-yet-unsettled question; it is to be updated in light of the Supreme Court’s decision, and confirmed against the exact dates of the impugned notice/order, before filing.</w:t>
      </w:r>
    </w:p>
    <w:p>
      <w:pPr>
        <w:spacing w:after="160" w:line="276"/>
        <w:jc w:val="both"/>
      </w:pPr>
      <w:r>
        <w:rPr>
          <w:rFonts w:ascii="Times New Roman" w:cs="Times New Roman" w:eastAsia="Times New Roman" w:hAnsi="Times New Roman"/>
          <w:b/>
          <w:bCs/>
          <w:i/>
          <w:iCs/>
          <w:sz w:val="24"/>
          <w:szCs w:val="24"/>
        </w:rPr>
        <w:t xml:space="preserve">Note on the Section 128A waiver (for the record): </w:t>
      </w:r>
      <w:r>
        <w:rPr>
          <w:rFonts w:ascii="Times New Roman" w:cs="Times New Roman" w:eastAsia="Times New Roman" w:hAnsi="Times New Roman"/>
          <w:i/>
          <w:iCs/>
          <w:sz w:val="24"/>
          <w:szCs w:val="24"/>
        </w:rPr>
        <w:t xml:space="preserve">this demand pertains to a financial year (FY 2017-18, 2018-19 or 2019-20) for which Section 128A offered a waiver of interest and penalty on payment of the tax, subject to payment by 31 March 2025 and application (FORM GST SPL-01/SPL-02) by 30 June 2025. Those statutory cut-offs having passed, the 128A route is no longer available; the matter is therefore contested on merits. The note is retained only to record that the amnesty option was considered and has lapsed.</w:t>
      </w:r>
    </w:p>
    <w:p>
      <w:pPr>
        <w:pStyle w:val="Heading1"/>
        <w:spacing w:after="140" w:before="280"/>
      </w:pPr>
      <w:r>
        <w:rPr>
          <w:rFonts w:ascii="Times New Roman" w:cs="Times New Roman" w:eastAsia="Times New Roman" w:hAnsi="Times New Roman"/>
          <w:b/>
          <w:bCs/>
          <w:sz w:val="26"/>
          <w:szCs w:val="26"/>
        </w:rPr>
        <w:t xml:space="preserve">PRAYER</w:t>
      </w:r>
    </w:p>
    <w:p>
      <w:pPr>
        <w:spacing w:after="160" w:line="276"/>
        <w:jc w:val="both"/>
      </w:pPr>
      <w:r>
        <w:rPr>
          <w:rFonts w:ascii="Times New Roman" w:cs="Times New Roman" w:eastAsia="Times New Roman" w:hAnsi="Times New Roman"/>
          <w:sz w:val="24"/>
          <w:szCs w:val="24"/>
        </w:rPr>
        <w:t xml:space="preserve">It is prayed that the notice be dropped as barred by limitation under Section 73(2) read with Section 73(10) and the applicable extension notifications; and that a personal hearing be granted before any adverse order.</w:t>
      </w:r>
    </w:p>
    <w:p>
      <w:pPr>
        <w:spacing w:after="60" w:before="240"/>
      </w:pPr>
      <w:r>
        <w:rPr>
          <w:rFonts w:ascii="Times New Roman" w:cs="Times New Roman" w:eastAsia="Times New Roman" w:hAnsi="Times New Roman"/>
          <w:sz w:val="24"/>
          <w:szCs w:val="24"/>
        </w:rPr>
        <w:t xml:space="preserve">Yours faithfully,</w:t>
      </w:r>
    </w:p>
    <w:p>
      <w:r>
        <w:rPr>
          <w:rFonts w:ascii="Times New Roman" w:cs="Times New Roman" w:eastAsia="Times New Roman" w:hAnsi="Times New Roman"/>
          <w:sz w:val="24"/>
          <w:szCs w:val="24"/>
        </w:rPr>
        <w:t xml:space="preserve">For and on behalf of</w:t>
      </w:r>
    </w:p>
    <w:p>
      <w:r>
        <w:rPr>
          <w:rFonts w:ascii="Times New Roman" w:cs="Times New Roman" w:eastAsia="Times New Roman" w:hAnsi="Times New Roman"/>
          <w:b/>
          <w:bCs/>
          <w:sz w:val="24"/>
          <w:szCs w:val="24"/>
        </w:rPr>
        <w:t xml:space="preserve">M/s Noticedesk Technologies Private Limited</w:t>
      </w:r>
    </w:p>
    <w:p>
      <w:pPr>
        <w:spacing w:before="200"/>
      </w:pPr>
      <w:r>
        <w:rPr>
          <w:rFonts w:ascii="Times New Roman" w:cs="Times New Roman" w:eastAsia="Times New Roman" w:hAnsi="Times New Roman"/>
          <w:sz w:val="24"/>
          <w:szCs w:val="24"/>
        </w:rPr>
        <w:t xml:space="preserve">_______________________________</w:t>
      </w:r>
    </w:p>
    <w:p>
      <w:r>
        <w:rPr>
          <w:rFonts w:ascii="Times New Roman" w:cs="Times New Roman" w:eastAsia="Times New Roman" w:hAnsi="Times New Roman"/>
          <w:b/>
          <w:bCs/>
          <w:sz w:val="24"/>
          <w:szCs w:val="24"/>
        </w:rPr>
        <w:t xml:space="preserve">Authorised Signatory / Director</w:t>
      </w:r>
    </w:p>
    <w:p>
      <w:pPr>
        <w:spacing w:before="120"/>
      </w:pPr>
      <w:r>
        <w:rPr>
          <w:rFonts w:ascii="Times New Roman" w:cs="Times New Roman" w:eastAsia="Times New Roman" w:hAnsi="Times New Roman"/>
          <w:sz w:val="24"/>
          <w:szCs w:val="24"/>
        </w:rPr>
        <w:t xml:space="preserve">Place: Mumbai</w:t>
      </w:r>
    </w:p>
    <w:p>
      <w:r>
        <w:rPr>
          <w:rFonts w:ascii="Times New Roman" w:cs="Times New Roman" w:eastAsia="Times New Roman" w:hAnsi="Times New Roman"/>
          <w:sz w:val="24"/>
          <w:szCs w:val="24"/>
        </w:rPr>
        <w:t xml:space="preserve">Date: [____]</w:t>
      </w:r>
    </w:p>
    <w:p>
      <w:pPr>
        <w:spacing w:before="120"/>
      </w:pPr>
      <w:r>
        <w:rPr>
          <w:rFonts w:ascii="Times New Roman" w:cs="Times New Roman" w:eastAsia="Times New Roman" w:hAnsi="Times New Roman"/>
          <w:i/>
          <w:iCs/>
          <w:sz w:val="24"/>
          <w:szCs w:val="24"/>
        </w:rPr>
        <w:t xml:space="preserve">Filed through [____], Authorised Representative.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720"/>
      </w:pPr>
      <w:rPr>
        <w:b/>
        <w:bCs/>
      </w:rPr>
    </w:lvl>
  </w:abstractNum>
  <w:abstractNum w:abstractNumId="4" w15:restartNumberingAfterBreak="0">
    <w:multiLevelType w:val="hybridMultilevel"/>
    <w:lvl w:ilvl="0" w15:tentative="1">
      <w:start w:val="1"/>
      <w:numFmt w:val="decimal"/>
      <w:lvlText w:val="%1."/>
      <w:lvlJc w:val="left"/>
      <w:pPr>
        <w:ind w:left="720" w:hanging="720"/>
      </w:pPr>
      <w:rPr>
        <w:b/>
        <w:bCs/>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spacing w:after="120" w:before="20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2026-06-13T08:13:10.423Z</dcterms:created>
  <dcterms:modified xsi:type="dcterms:W3CDTF">2026-06-13T08:13:10.423Z</dcterms:modified>
</cp:coreProperties>
</file>

<file path=docProps/custom.xml><?xml version="1.0" encoding="utf-8"?>
<Properties xmlns="http://schemas.openxmlformats.org/officeDocument/2006/custom-properties" xmlns:vt="http://schemas.openxmlformats.org/officeDocument/2006/docPropsVTypes"/>
</file>