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proposing penalty under Section 122 for non-generation of e-invoices — the registered person not being covered by the e-invoicing mandate for the relevant years, its turnover being below the threshold then notified.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The registered person’s year-wise aggregate turnover to be completed from the record and tested against the threshold applicable to each year.</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that, having B2B supplies and turnover above Rs. 5 crore across FY 2017-18 to FY 2022-23, the registered person ought to have generated e-invoices, and proposes penalty under Section 122. The e-invoicing mandate, however, was introduced only from 1 October 2020 and applied in phases by descending turnover thresholds — Rs. 100 crore initially, reduced over time to Rs. 5 crore only from 1 August 2023. The obligation in any year depends on the threshold notified for that year and on the turnover of the prescribed preceding year. The registered person was below the applicable threshold in the relevant years and so was not required to generate e-invoices; the penalty is misconceived.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makes B2B supplies. The notice proposes penalty under Section 122 for not generating e-invoices for FY 2017-18 to FY 2022-23. The registered person’s aggregate turnover (Section 2(6)) for the relevant years is set out below, to be completed from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Financial Year</w:t>
            </w:r>
          </w:p>
        </w:tc>
        <w:tc>
          <w:tcPr>
            <w:tcW w:type="dxa" w:w="312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Aggregate Turnover</w:t>
            </w:r>
          </w:p>
        </w:tc>
        <w:tc>
          <w:tcPr>
            <w:tcW w:type="dxa" w:w="312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E-invoice threshold then in force</w:t>
            </w:r>
          </w:p>
        </w:tc>
      </w:tr>
      <w:tr>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FY 2020-21</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100 cr → 50 cr</w:t>
            </w:r>
          </w:p>
        </w:tc>
      </w:tr>
      <w:tr>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FY 2021-22</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50 cr → 20 cr</w:t>
            </w:r>
          </w:p>
        </w:tc>
      </w:tr>
      <w:tr>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FY 2022-23</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20 cr → 10 cr</w:t>
            </w:r>
          </w:p>
        </w:tc>
      </w:tr>
    </w:tbl>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E-invoicing applied only from 1 October 2020, and in phases. </w:t>
      </w:r>
      <w:r>
        <w:rPr>
          <w:rFonts w:ascii="Times New Roman" w:cs="Times New Roman" w:eastAsia="Times New Roman" w:hAnsi="Times New Roman"/>
          <w:sz w:val="24"/>
          <w:szCs w:val="24"/>
        </w:rPr>
        <w:t xml:space="preserve">Rule 48(4) (inserted by Notification No. 68/2019-Central Tax dated 13 December 2019) empowered the Government to notify the class of registered persons required to issue e-invoices. The first such class — turnover exceeding Rs. 100 crore — was notified by Notification No. 70/2019-Central Tax, and e-invoicing commenced on 1 October 2020 (the original 1 April 2020 date having been deferred). There was no e-invoicing obligation at all for FY 2017-18, FY 2018-19 or FY 2019-20.</w:t>
      </w:r>
    </w:p>
    <w:p>
      <w:pPr>
        <w:spacing w:after="140" w:line="276"/>
        <w:ind w:left="720"/>
        <w:jc w:val="both"/>
      </w:pPr>
      <w:r>
        <w:rPr>
          <w:rFonts w:ascii="Times New Roman" w:cs="Times New Roman" w:eastAsia="Times New Roman" w:hAnsi="Times New Roman"/>
          <w:b/>
          <w:bCs/>
          <w:i/>
          <w:iCs/>
          <w:sz w:val="24"/>
          <w:szCs w:val="24"/>
        </w:rPr>
        <w:t xml:space="preserve">(b) The threshold descended in stages. </w:t>
      </w:r>
      <w:r>
        <w:rPr>
          <w:rFonts w:ascii="Times New Roman" w:cs="Times New Roman" w:eastAsia="Times New Roman" w:hAnsi="Times New Roman"/>
          <w:sz w:val="24"/>
          <w:szCs w:val="24"/>
        </w:rPr>
        <w:t xml:space="preserve">The threshold was progressively reduced — to Rs. 50 crore (w.e.f. 1 April 2021), Rs. 20 crore (w.e.f. 1 April 2022), Rs. 10 crore (w.e.f. 1 October 2022) and Rs. 5 crore (w.e.f. 1 August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obligation for any period is governed by the threshold then in force and by the turnover of the relevant preceding year; a single ‘above Rs. 5 crore’ test cannot be applied retrospectively across all the years in the notice.</w:t>
      </w:r>
    </w:p>
    <w:p>
      <w:pPr>
        <w:spacing w:after="140" w:line="276"/>
        <w:ind w:left="720"/>
        <w:jc w:val="both"/>
      </w:pPr>
      <w:r>
        <w:rPr>
          <w:rFonts w:ascii="Times New Roman" w:cs="Times New Roman" w:eastAsia="Times New Roman" w:hAnsi="Times New Roman"/>
          <w:b/>
          <w:bCs/>
          <w:i/>
          <w:iCs/>
          <w:sz w:val="24"/>
          <w:szCs w:val="24"/>
        </w:rPr>
        <w:t xml:space="preserve">(c) Application. </w:t>
      </w:r>
      <w:r>
        <w:rPr>
          <w:rFonts w:ascii="Times New Roman" w:cs="Times New Roman" w:eastAsia="Times New Roman" w:hAnsi="Times New Roman"/>
          <w:sz w:val="24"/>
          <w:szCs w:val="24"/>
        </w:rPr>
        <w:t xml:space="preserve">Tested year by year against the threshold then applicable, the registered person was not within the e-invoicing class in the relevant years (its turnover not having crossed the threshold in force for the relevant period). It was therefore under no obligation to generate e-invoices, and the proposed penalty under Section 122 is without basis. To the extent any year is alleged to cross the applicable threshold, the registered person will address it specifically; the blanket allegation, however, cannot stand.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registered person not being within the e-invoicing mandate for the relevant years on the thresholds then in force, and no penalty under Section 122 being exigible;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2026-06-13T08:13:10.986Z</dcterms:created>
  <dcterms:modified xsi:type="dcterms:W3CDTF">2026-06-13T08:13:10.986Z</dcterms:modified>
</cp:coreProperties>
</file>

<file path=docProps/custom.xml><?xml version="1.0" encoding="utf-8"?>
<Properties xmlns="http://schemas.openxmlformats.org/officeDocument/2006/custom-properties" xmlns:vt="http://schemas.openxmlformats.org/officeDocument/2006/docPropsVTypes"/>
</file>