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demanding interest under Section 50 computed on the gross tax liability, the interest being payable only on the net cash liability under the proviso to Section 50(1)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Notice”).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amendment, notification and press release is marked [VERIFY] for a final check before filing. The period (July 2017 to September 2020 / to date) and the demand of interest on gross liability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demands interest under Section 50 computed on the </w:t>
      </w:r>
      <w:r>
        <w:rPr>
          <w:rFonts w:ascii="Times New Roman" w:cs="Times New Roman" w:eastAsia="Times New Roman" w:hAnsi="Times New Roman"/>
          <w:b w:val="false"/>
          <w:bCs w:val="false"/>
          <w:i/>
          <w:iCs/>
          <w:caps w:val="false"/>
          <w:sz w:val="24"/>
          <w:szCs w:val="24"/>
        </w:rPr>
        <w:t xml:space="preserve">gross</w:t>
      </w:r>
      <w:r>
        <w:rPr>
          <w:rFonts w:ascii="Times New Roman" w:cs="Times New Roman" w:eastAsia="Times New Roman" w:hAnsi="Times New Roman"/>
          <w:b w:val="false"/>
          <w:bCs w:val="false"/>
          <w:i w:val="false"/>
          <w:iCs w:val="false"/>
          <w:caps w:val="false"/>
          <w:sz w:val="24"/>
          <w:szCs w:val="24"/>
        </w:rPr>
        <w:t xml:space="preserve"> tax liability for the period [July 2017 to September 2020 / to date]. The demand is contrary to law. The proviso to Section 50(1), inserted by the Finance (No. 2) Act, 2019 and brought into force from 1 September 2020, confines interest to the tax paid by debiting the electronic cash ledger — that is, the </w:t>
      </w:r>
      <w:r>
        <w:rPr>
          <w:rFonts w:ascii="Times New Roman" w:cs="Times New Roman" w:eastAsia="Times New Roman" w:hAnsi="Times New Roman"/>
          <w:b/>
          <w:bCs/>
          <w:i w:val="false"/>
          <w:iCs w:val="false"/>
          <w:caps w:val="false"/>
          <w:sz w:val="24"/>
          <w:szCs w:val="24"/>
        </w:rPr>
        <w:t xml:space="preserve">net cash</w:t>
      </w:r>
      <w:r>
        <w:rPr>
          <w:rFonts w:ascii="Times New Roman" w:cs="Times New Roman" w:eastAsia="Times New Roman" w:hAnsi="Times New Roman"/>
          <w:b w:val="false"/>
          <w:bCs w:val="false"/>
          <w:i w:val="false"/>
          <w:iCs w:val="false"/>
          <w:caps w:val="false"/>
          <w:sz w:val="24"/>
          <w:szCs w:val="24"/>
        </w:rPr>
        <w:t xml:space="preserve"> liability — where the return is furnished after the due date (except where the return is filed after the commencement of proceedings under Section 73 or 74). The GST Council and the Board have made clear that the net-liability basis applies retrospectively from 1 July 2017. Interest, if any, is therefore payable only on the net cash component, not on the gross liability.</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1 July 2017.</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demand. </w:t>
      </w:r>
      <w:r>
        <w:rPr>
          <w:rFonts w:ascii="Times New Roman" w:cs="Times New Roman" w:eastAsia="Times New Roman" w:hAnsi="Times New Roman"/>
          <w:b w:val="false"/>
          <w:bCs w:val="false"/>
          <w:i w:val="false"/>
          <w:iCs w:val="false"/>
          <w:caps w:val="false"/>
          <w:sz w:val="24"/>
          <w:szCs w:val="24"/>
        </w:rPr>
        <w:t xml:space="preserve">By the Impugned Notice, the Department demands interest under Section 50 for the period [July 2017 to September 2020 / to date], computed on the gross tax liability.</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Company’s position. </w:t>
      </w:r>
      <w:r>
        <w:rPr>
          <w:rFonts w:ascii="Times New Roman" w:cs="Times New Roman" w:eastAsia="Times New Roman" w:hAnsi="Times New Roman"/>
          <w:b w:val="false"/>
          <w:bCs w:val="false"/>
          <w:i w:val="false"/>
          <w:iCs w:val="false"/>
          <w:caps w:val="false"/>
          <w:sz w:val="24"/>
          <w:szCs w:val="24"/>
        </w:rPr>
        <w:t xml:space="preserve">To the extent any return was furnished late, the corresponding liability was discharged substantially out of available input tax credit; the cash component, if any, was small. Interest, if exigible at all, is confined to that net cash component.</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Interest under Section 50(1) is payable only on the net cash liability — the proviso to Section 50(1)</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proviso to Section 50(1), inserted by Section 100 of the Finance (No. 2) Act, 2019 [VERIFY], reads:</w:t>
      </w:r>
    </w:p>
    <w:p>
      <w:pPr>
        <w:spacing w:after="140" w:line="264"/>
        <w:ind w:left="720" w:right="360"/>
        <w:jc w:val="both"/>
      </w:pPr>
      <w:r>
        <w:rPr>
          <w:rFonts w:ascii="Times New Roman" w:cs="Times New Roman" w:eastAsia="Times New Roman" w:hAnsi="Times New Roman"/>
          <w:i/>
          <w:iCs/>
          <w:sz w:val="22"/>
          <w:szCs w:val="22"/>
        </w:rPr>
        <w:t xml:space="preserve">Provided that the interest on tax payable in respect of supplies made during a tax period and declared in the return for the said period furnished after the due date in accordance with the provisions of section 39, except where such return is furnished after commencement of any proceedings under section 73 or section 74 in respect of the said period, shall be levied on that portion of the tax that is paid by debiting the electronic cash ledger.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Interest is thus levied only on the portion of the tax discharged through the electronic cash ledger — the net cash liability — and not on the portion set off from available input tax credit. The demand of interest on the gross liability is contrary to the express proviso.</w:t>
      </w:r>
    </w:p>
    <w:p>
      <w:pPr>
        <w:pStyle w:val="Heading2"/>
        <w:spacing w:after="140" w:before="200"/>
      </w:pPr>
      <w:r>
        <w:rPr>
          <w:rFonts w:ascii="Times New Roman" w:cs="Times New Roman" w:eastAsia="Times New Roman" w:hAnsi="Times New Roman"/>
          <w:b/>
          <w:bCs/>
          <w:sz w:val="24"/>
          <w:szCs w:val="24"/>
        </w:rPr>
        <w:t xml:space="preserve">Ground 2: The net-liability basis applies retrospectively from 1 July 2017</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Although the proviso was notified to come into force on 1 September 2020 (by Notification No. 63/2020-Central Tax dated 25.08.2020 [VERIFY]), the GST Council (39th meeting) recommended that interest on net liability be charged with retrospective effect from 1 July 2017, and the Board, by Press Release / administrative instruction [VERIFY], assured that no recovery of interest on the gross basis would be made for the past period and that the proviso would be given retrospective effect. The amendment was subsequently given retrospective effect from 1 July 2017. The demand for interest on the gross basis for the period from July 2017 therefore cannot be sustained.</w:t>
      </w:r>
    </w:p>
    <w:p>
      <w:pPr>
        <w:spacing w:after="120" w:before="120"/>
        <w:jc w:val="both"/>
      </w:pPr>
      <w:r>
        <w:rPr>
          <w:rFonts w:ascii="Times New Roman" w:cs="Times New Roman" w:eastAsia="Times New Roman" w:hAnsi="Times New Roman"/>
          <w:b/>
          <w:bCs/>
          <w:i/>
          <w:iCs/>
          <w:sz w:val="20"/>
          <w:szCs w:val="20"/>
        </w:rPr>
        <w:t xml:space="preserve">Caution (for review): </w:t>
      </w:r>
      <w:r>
        <w:rPr>
          <w:rFonts w:ascii="Times New Roman" w:cs="Times New Roman" w:eastAsia="Times New Roman" w:hAnsi="Times New Roman"/>
          <w:i/>
          <w:iCs/>
          <w:sz w:val="20"/>
          <w:szCs w:val="20"/>
        </w:rPr>
        <w:t xml:space="preserve">The retrospective operation of the Section 50(1) proviso from 01.07.2017 (as distinct from its notified commencement on 01.09.2020) should be confirmed against the amending instrument and the Board’s instruction before filing. The proviso’s exception — where the return is furnished after commencement of proceedings under Section 73/74 — must also be checked against the facts. [VERIFY]</w:t>
      </w:r>
    </w:p>
    <w:p>
      <w:pPr>
        <w:pStyle w:val="Heading2"/>
        <w:spacing w:after="140" w:before="200"/>
      </w:pPr>
      <w:r>
        <w:rPr>
          <w:rFonts w:ascii="Times New Roman" w:cs="Times New Roman" w:eastAsia="Times New Roman" w:hAnsi="Times New Roman"/>
          <w:b/>
          <w:bCs/>
          <w:sz w:val="24"/>
          <w:szCs w:val="24"/>
        </w:rPr>
        <w:t xml:space="preserve">Ground 3 (without prejudice): Quantification on the net basis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if any interest is held exigible, it must be re-computed on the net cash liability alone, period by period, after giving credit for the input tax credit utilised. The Company furnishes a working of the net cash liability at Annexure 1 and submits that any interest be confined accordingly.</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interest under Section 50(1) is payable only on the net cash liability (the tax paid by debiting the electronic cash ledger), not on the gross liability;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net-liability basis applies for the entire period from 1 July 2017;</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demand of interest computed on the gross liability; in the alternative, RE-COMPUTE any interest on the net cash basis per Annexure 1;</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50(1) and its proviso (inserted by the Finance (No. 2) Act, 2019); Sections 49 and 39 of the CGST Act,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Notification No. 63/2020-Central Tax dated 25.08.2020 (commencement of the proviso w.e.f. 01.09.2020); recommendation of the 39th GST Council meeting; CBIC Press Release / administrative instruction on retrospective net-liability interest; subsequent retrospective amendment w.e.f. 01.07.2017.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Period-wise working of the net cash liability and the interest, if any, computed thereon.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Notice.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2026-06-13T08:26:21.452Z</dcterms:created>
  <dcterms:modified xsi:type="dcterms:W3CDTF">2026-06-13T08:26:21.452Z</dcterms:modified>
</cp:coreProperties>
</file>

<file path=docProps/custom.xml><?xml version="1.0" encoding="utf-8"?>
<Properties xmlns="http://schemas.openxmlformats.org/officeDocument/2006/custom-properties" xmlns:vt="http://schemas.openxmlformats.org/officeDocument/2006/docPropsVTypes"/>
</file>