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proposing an addition to the declared value of supply on the basis of the officer’s estimate of profit margin — the transaction value declared being the value of supply under Section 15, no enabling provision permitting such an estimate.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to add Rs. 10 to the registered person’s declared sales of Rs. 100, on the footing that, by the officer’s estimate of profit margin, the sales ‘should be’ Rs. 110. The value of a supply, however, is its transaction value — the price actually paid or payable — under Section 15(1), where the parties are unrelated and price is the sole consideration. The Act contains no power to substitute an officer’s notional margin for the actual transaction value; the Valuation Rules apply only in the specific situations enumerated in Section 15(4)/(5), none of which exists here. The proposed addition is without authority of law.</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correctly reported sales of Rs. 100 in its GSTR-1 and GSTR-3B; there is no difference between its actual and reported sales. The notice nonetheless proposes to add Rs. 10, asserting that, on the officer’s estimate of margin, the sales ‘should be’ Rs. 110, and to levy tax on the addition.</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Transaction value governs. </w:t>
      </w:r>
      <w:r>
        <w:rPr>
          <w:rFonts w:ascii="Times New Roman" w:cs="Times New Roman" w:eastAsia="Times New Roman" w:hAnsi="Times New Roman"/>
          <w:sz w:val="24"/>
          <w:szCs w:val="24"/>
        </w:rPr>
        <w:t xml:space="preserve">Section 15(1) provides that the value of a supply “shall be the transaction value, which is the price actually paid or payable” where supplier and recipient are unrelated and the price is the sole consideration. Where, as here, the parties are unrelated and the price is genuine, the declared transaction value is the value of supply; the officer is bound to accept it.</w:t>
      </w:r>
    </w:p>
    <w:p>
      <w:pPr>
        <w:spacing w:after="140" w:line="276"/>
        <w:ind w:left="720"/>
        <w:jc w:val="both"/>
      </w:pPr>
      <w:r>
        <w:rPr>
          <w:rFonts w:ascii="Times New Roman" w:cs="Times New Roman" w:eastAsia="Times New Roman" w:hAnsi="Times New Roman"/>
          <w:b/>
          <w:bCs/>
          <w:i/>
          <w:iCs/>
          <w:sz w:val="24"/>
          <w:szCs w:val="24"/>
        </w:rPr>
        <w:t xml:space="preserve">(b) No power to estimate value on notional margin. </w:t>
      </w:r>
      <w:r>
        <w:rPr>
          <w:rFonts w:ascii="Times New Roman" w:cs="Times New Roman" w:eastAsia="Times New Roman" w:hAnsi="Times New Roman"/>
          <w:sz w:val="24"/>
          <w:szCs w:val="24"/>
        </w:rPr>
        <w:t xml:space="preserve">The Act provides no power to re-determine the value of a supply on the basis of an officer’s estimate of profit margin. The Valuation Rules (Rules 27 to 35) apply only where Section 15(4) is attracted — that is, where the value cannot be determined under Section 15(1), such as for related-party or non-monetary-consideration supplies — none of which is the case here. A demand built on a notional margin, with no allegation that the parties are related or that the price is not the sole consideration, is without statutory foundation.</w:t>
      </w:r>
    </w:p>
    <w:p>
      <w:pPr>
        <w:spacing w:after="140" w:line="276"/>
        <w:ind w:left="720"/>
        <w:jc w:val="both"/>
      </w:pPr>
      <w:r>
        <w:rPr>
          <w:rFonts w:ascii="Times New Roman" w:cs="Times New Roman" w:eastAsia="Times New Roman" w:hAnsi="Times New Roman"/>
          <w:b/>
          <w:bCs/>
          <w:i/>
          <w:iCs/>
          <w:sz w:val="24"/>
          <w:szCs w:val="24"/>
        </w:rPr>
        <w:t xml:space="preserve">(c) Conclusion. </w:t>
      </w:r>
      <w:r>
        <w:rPr>
          <w:rFonts w:ascii="Times New Roman" w:cs="Times New Roman" w:eastAsia="Times New Roman" w:hAnsi="Times New Roman"/>
          <w:sz w:val="24"/>
          <w:szCs w:val="24"/>
        </w:rPr>
        <w:t xml:space="preserve">The declared transaction value being the value of supply under Section 15(1), and there being no provision to substitute an estimated value, the proposed addition of Rs. 10 and the tax thereon are unsustainable.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declared transaction value being the value of supply under Section 15(1) and there being no power to add a notional margin;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2026-06-13T08:13:11.066Z</dcterms:created>
  <dcterms:modified xsi:type="dcterms:W3CDTF">2026-06-13T08:13:11.066Z</dcterms:modified>
</cp:coreProperties>
</file>

<file path=docProps/custom.xml><?xml version="1.0" encoding="utf-8"?>
<Properties xmlns="http://schemas.openxmlformats.org/officeDocument/2006/custom-properties" xmlns:vt="http://schemas.openxmlformats.org/officeDocument/2006/docPropsVTypes"/>
</file>