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 the very issue having earlier been scrutinised under Section 61, explained, and expressly dropped by an order in FORM GST ASMT-12 — the fresh proceeding on the same subject matter being barred by Section 61(2).</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The identity of subject matter between the ASMT-10 and the DRC-01 (same period, same figures, same discrepancy) must be demonstrated from the documents — enclose the ASMT-10, ASMT-11 and ASMT-12.</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On scrutiny of returns under Section 61, the office issued FORM GST ASMT-10 raising the very discrepancy now alleged; the registered person explained it in FORM GST ASMT-11; and the proper officer, satisfied, dropped the proceeding by FORM GST ASMT-12. Section 61(2) provides that where the explanation is found acceptable, the registered person shall be informed and “no further action shall be taken in this regard.” The present notice resurrects the same discrepancy for the same period and the same amounts. It is barred: the Section 61(3) gateway to Sections 73/74 opens only where no satisfactory explanation is furnished, and that gateway closed when the ASMT-12 issued.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ASMT-10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raised the discrepancy of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registered person replied in ASMT-11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with supporting documents; the proper officer accepted the explanation and issued ASMT-12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dropping the proceeding (copies enclosed).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present notice in FORM GST DRC-01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proposes a demand on the identical discrepancy, for the identical period and amounts, adding only interest and penalty.</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61(2) read with Rule 99(3) gives statutory finality to the acceptance of the explanation: “no further action shall be taken in this regard.” Section 61(3) permits recourse to Sections 65, 66, 67, 73 or 74 only where the explanation is not furnished or not acceptable, or corrective action is not taken. Once ASMT-12 issues, that precondition is absent, and Section 73 — which contains no non-obstante clause overriding Section 61(2) — cannot be invoked on the same subject matter.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point is concluded by authority. In </w:t>
      </w:r>
      <w:r>
        <w:rPr>
          <w:rFonts w:ascii="Times New Roman" w:cs="Times New Roman" w:eastAsia="Times New Roman" w:hAnsi="Times New Roman"/>
          <w:i/>
          <w:iCs/>
          <w:sz w:val="24"/>
          <w:szCs w:val="24"/>
        </w:rPr>
        <w:t xml:space="preserve">Goverdhandham Estate Pvt Ltd v. State of Rajasthan</w:t>
      </w:r>
      <w:r>
        <w:rPr>
          <w:rFonts w:ascii="Times New Roman" w:cs="Times New Roman" w:eastAsia="Times New Roman" w:hAnsi="Times New Roman"/>
          <w:sz w:val="24"/>
          <w:szCs w:val="24"/>
        </w:rPr>
        <w:t xml:space="preserve">, D.B. Civil Writ Petition No. 16702/2023, dated 17 January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Rajasthan High Court quashed a Section 73 notice issued after an ASMT-12, holding the acceptance final; the Supreme Court dismissed the Revenue’s special leave petition, reported at (2025) 26 Centax 401 (S.C.)</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Madras High Court in </w:t>
      </w:r>
      <w:r>
        <w:rPr>
          <w:rFonts w:ascii="Times New Roman" w:cs="Times New Roman" w:eastAsia="Times New Roman" w:hAnsi="Times New Roman"/>
          <w:i/>
          <w:iCs/>
          <w:sz w:val="24"/>
          <w:szCs w:val="24"/>
        </w:rPr>
        <w:t xml:space="preserve">Radiant Cash Management Services Ltd</w:t>
      </w:r>
      <w:r>
        <w:rPr>
          <w:rFonts w:ascii="Times New Roman" w:cs="Times New Roman" w:eastAsia="Times New Roman" w:hAnsi="Times New Roman"/>
          <w:sz w:val="24"/>
          <w:szCs w:val="24"/>
        </w:rPr>
        <w:t xml:space="preserve">, W.P. No. 2981 of 2024, dated 11 March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quashed an order resurrecting the same demand after an ASMT-12. The Delhi High Court in </w:t>
      </w:r>
      <w:r>
        <w:rPr>
          <w:rFonts w:ascii="Times New Roman" w:cs="Times New Roman" w:eastAsia="Times New Roman" w:hAnsi="Times New Roman"/>
          <w:i/>
          <w:iCs/>
          <w:sz w:val="24"/>
          <w:szCs w:val="24"/>
        </w:rPr>
        <w:t xml:space="preserve">Kemexel Ecommerce Pvt Ltd</w:t>
      </w:r>
      <w:r>
        <w:rPr>
          <w:rFonts w:ascii="Times New Roman" w:cs="Times New Roman" w:eastAsia="Times New Roman" w:hAnsi="Times New Roman"/>
          <w:sz w:val="24"/>
          <w:szCs w:val="24"/>
        </w:rPr>
        <w:t xml:space="preserve">, W.P.(C) 16555/2025, dated 31 October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quashed both the SCN and the order with costs, holding that “no further action” includes Section 73; and the Gauhati High Court in </w:t>
      </w:r>
      <w:r>
        <w:rPr>
          <w:rFonts w:ascii="Times New Roman" w:cs="Times New Roman" w:eastAsia="Times New Roman" w:hAnsi="Times New Roman"/>
          <w:i/>
          <w:iCs/>
          <w:sz w:val="24"/>
          <w:szCs w:val="24"/>
        </w:rPr>
        <w:t xml:space="preserve">PepsiCo India Holdings Pvt Ltd</w:t>
      </w:r>
      <w:r>
        <w:rPr>
          <w:rFonts w:ascii="Times New Roman" w:cs="Times New Roman" w:eastAsia="Times New Roman" w:hAnsi="Times New Roman"/>
          <w:sz w:val="24"/>
          <w:szCs w:val="24"/>
        </w:rPr>
        <w:t xml:space="preserve">, W.P.(C) 6960/2023, dated 19 September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treated the scrutiny route as a mandatory precondition where the trigger is a return discrepancy.</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Nor can the notice be saved as resting on new material: it discloses none, and proceeds on the very figures explained and accepted. Where a notice genuinely rests on independent material not covered by the scrutiny, different considerations arise; that is not this case, as a comparison of the two documents demonstrates.</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as barred by Section 61(2) read with Rule 99(3), the identical issue having been scrutinised, explained and expressly dropped by FORM GST ASMT-12;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2026-06-13T08:15:42.137Z</dcterms:created>
  <dcterms:modified xsi:type="dcterms:W3CDTF">2026-06-13T08:15:42.137Z</dcterms:modified>
</cp:coreProperties>
</file>

<file path=docProps/custom.xml><?xml version="1.0" encoding="utf-8"?>
<Properties xmlns="http://schemas.openxmlformats.org/officeDocument/2006/custom-properties" xmlns:vt="http://schemas.openxmlformats.org/officeDocument/2006/docPropsVTypes"/>
</file>