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 the identical subject matter (GSTR-2A/3B input-tax-credit mismatch, FY 2017-18) having already been adjudicated by the Central tax authority, whose order is under appeal — the present proceeding being barred by Section 6(2)(b).</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The identity of subject matter (period, issue, amounts) between the Central order and this SCN must be demonstrated — enclose the Central SCN, order and appeal memo. If the parallel Central matter is itself only at SCN stage (not concluded), the framing shifts to the Supreme Court’s Armour Security guidelines (later notice on a covered liability to be dropped; authorities to decide inter se) — adjust accordingly.</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raises a GSTR-2A/3B credit mismatch for FY 2017-18. That very issue, for that very period, has already been the subject of a show cause notice and an adjudication order by the Central tax authority having jurisdiction over the registered person; the order is under appeal. Section 6(2)(b) bars the initiation of proceedings by one administration on a subject matter on which the other has initiated proceedings; and the Supreme Court has now laid down that parallel proceedings by the two administrations on the same subject matter are impermissible, the later notice on a liability already covered being liable to be dropped. The present notice must therefore be withdrawn.</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Central authority (Assistant Commissioner, CGST) issued a show cause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on the identical 2A/3B mismatch for FY 2017-18; the registered person replied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 order was passed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an appeal stands filed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(copies of the SCN, order and appeal enclosed).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present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from the State authority raises the same issue, for the same period and amounts.</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6(2)(b) provides that where a proper officer under one Act has initiated any proceedings on a subject matter, no proceedings shall be initiated by the proper officer under the other Act on the same subject matter; clause (a) contemplates a single order under both Acts with intimation to the counterpart. The scheme is a single interface: one liability, one proceeding, one order.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Where the counterpart authority has already passed an order, the bar is at its clearest. In </w:t>
      </w:r>
      <w:r>
        <w:rPr>
          <w:rFonts w:ascii="Times New Roman" w:cs="Times New Roman" w:eastAsia="Times New Roman" w:hAnsi="Times New Roman"/>
          <w:i/>
          <w:iCs/>
          <w:sz w:val="24"/>
          <w:szCs w:val="24"/>
        </w:rPr>
        <w:t xml:space="preserve">DOTT Services Ltd v. State of Telangana</w:t>
      </w:r>
      <w:r>
        <w:rPr>
          <w:rFonts w:ascii="Times New Roman" w:cs="Times New Roman" w:eastAsia="Times New Roman" w:hAnsi="Times New Roman"/>
          <w:sz w:val="24"/>
          <w:szCs w:val="24"/>
        </w:rPr>
        <w:t xml:space="preserve">, W.P. No. 5886 of 2024, dated 21 March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Telangana High Court quashed a State demand order passed after the Central authority’s Order-in-Original on the same matter, holding that non-uploading of the Central order did not empower the State to proceed afresh, intimation sufficing. The Supreme Court has since laid down the governing framework in </w:t>
      </w:r>
      <w:r>
        <w:rPr>
          <w:rFonts w:ascii="Times New Roman" w:cs="Times New Roman" w:eastAsia="Times New Roman" w:hAnsi="Times New Roman"/>
          <w:i/>
          <w:iCs/>
          <w:sz w:val="24"/>
          <w:szCs w:val="24"/>
        </w:rPr>
        <w:t xml:space="preserve">Armour Security (India) Ltd v. Commissioner, CGST Delhi East</w:t>
      </w:r>
      <w:r>
        <w:rPr>
          <w:rFonts w:ascii="Times New Roman" w:cs="Times New Roman" w:eastAsia="Times New Roman" w:hAnsi="Times New Roman"/>
          <w:sz w:val="24"/>
          <w:szCs w:val="24"/>
        </w:rPr>
        <w:t xml:space="preserve">, 2025 INSC 982, dated 14 August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while a summons under Section 70 is not itself ‘initiation of proceedings,’ parallel proceedings by the two administrations on the same subject matter are prohibited; once a notice issues, any later notice on a liability already covered must be dropped, the authorities deciding inter se who proceeds and transferring the material accordingly. ‘Subject matter’ takes in the cause of action and the relief — satisfied here on a bare comparison of the two notices.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Nothing turns on any suggestion of intelligence-based action: the Central proceeding was a regular adjudication, since carried to appeal, and on the Supreme Court’s framework the later notice on the covered liability cannot survive in any event. The registered person has, by this reply, formally intimated the present office of the Central proceedings and encloses the record.</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 withdrawn, the identical subject matter having been adjudicated by the Central authority and the proceeding being barred by Section 6(2)(b) read with the Supreme Court’s decision in Armour Security; and that a personal hearing be granted before any adverse step.</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2026-06-13T08:15:42.311Z</dcterms:created>
  <dcterms:modified xsi:type="dcterms:W3CDTF">2026-06-13T08:15:42.311Z</dcterms:modified>
</cp:coreProperties>
</file>

<file path=docProps/custom.xml><?xml version="1.0" encoding="utf-8"?>
<Properties xmlns="http://schemas.openxmlformats.org/officeDocument/2006/custom-properties" xmlns:vt="http://schemas.openxmlformats.org/officeDocument/2006/docPropsVTypes"/>
</file>