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DRC-01 proposing reversal of input tax credit on the ground that the supplier is a non-genuine taxpayer / was not found at its registered place / its registration was cancelled — demanding the relied-upon documents and the right of cross-examination, the credit being genuine and duly supported.</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to be reconciled. This reply is, at the first stage, a demand for the relied-upon material and cross-examination — the strongest, jurisdiction-neutral ground; the bona fide-purchaser submissions follow. Enclose the full documentary package.</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proposes to reverse credit availed from M/s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on the footing that the supplier is a ‘non-genuine taxpayer,’ or was not found at its registered place on a visit, or had its registration cancelled. The allegation rests on material not supplied to the registered person — a visit / verification report and, it appears, third-party statements. Natural justice requires that this material be furnished and that the persons whose statements are relied on be offered for cross-examination, before any adverse inference is drawn. On the merits, the credit is genuine: the supplier was registered when the transactions took place, the supplies were received, and payment was made through banking channels.</w:t>
      </w:r>
    </w:p>
    <w:p>
      <w:pPr>
        <w:pStyle w:val="Heading1"/>
        <w:spacing w:after="140" w:before="280"/>
      </w:pPr>
      <w:r>
        <w:rPr>
          <w:rFonts w:ascii="Times New Roman" w:cs="Times New Roman" w:eastAsia="Times New Roman" w:hAnsi="Times New Roman"/>
          <w:b/>
          <w:bCs/>
          <w:sz w:val="26"/>
          <w:szCs w:val="26"/>
        </w:rPr>
        <w:t xml:space="preserve">PART A — DEMAND FOR RELIED-UPON DOCUMENTS AND CROSS-EXAMINATION</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It is a settled rule of natural justice that where a demand rests on documents or statements, those must be supplied to the noticee, and any deponent whose statement is used must be offered for cross-examination. The notice refers to a visit / verification report and to the supplier’s alleged non-existence; the registered person has not been given the report, the identity of the officer who visited, the witnesses to the visit, or any statement relied on. These are demanded.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Reliance is placed on </w:t>
      </w:r>
      <w:r>
        <w:rPr>
          <w:rFonts w:ascii="Times New Roman" w:cs="Times New Roman" w:eastAsia="Times New Roman" w:hAnsi="Times New Roman"/>
          <w:i/>
          <w:iCs/>
          <w:sz w:val="24"/>
          <w:szCs w:val="24"/>
        </w:rPr>
        <w:t xml:space="preserve">Sri Muniappa Steels v. Assistant Commissioner (ST)</w:t>
      </w:r>
      <w:r>
        <w:rPr>
          <w:rFonts w:ascii="Times New Roman" w:cs="Times New Roman" w:eastAsia="Times New Roman" w:hAnsi="Times New Roman"/>
          <w:sz w:val="24"/>
          <w:szCs w:val="24"/>
        </w:rPr>
        <w:t xml:space="preserve">, Madras High Court, W.P. No. 10489 of 2019</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which set aside an assessment founded on a third-party dealer’s statement that was neither supplied nor open to cross-examination; on </w:t>
      </w:r>
      <w:r>
        <w:rPr>
          <w:rFonts w:ascii="Times New Roman" w:cs="Times New Roman" w:eastAsia="Times New Roman" w:hAnsi="Times New Roman"/>
          <w:i/>
          <w:iCs/>
          <w:sz w:val="24"/>
          <w:szCs w:val="24"/>
        </w:rPr>
        <w:t xml:space="preserve">Shiva Chemicals v. Assistant Commissioner of Revenue, State Tax</w:t>
      </w:r>
      <w:r>
        <w:rPr>
          <w:rFonts w:ascii="Times New Roman" w:cs="Times New Roman" w:eastAsia="Times New Roman" w:hAnsi="Times New Roman"/>
          <w:sz w:val="24"/>
          <w:szCs w:val="24"/>
        </w:rPr>
        <w:t xml:space="preserve">, [2024] 165 taxmann.com 13 (Calcutta)</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to the same effect; and on </w:t>
      </w:r>
      <w:r>
        <w:rPr>
          <w:rFonts w:ascii="Times New Roman" w:cs="Times New Roman" w:eastAsia="Times New Roman" w:hAnsi="Times New Roman"/>
          <w:i/>
          <w:iCs/>
          <w:sz w:val="24"/>
          <w:szCs w:val="24"/>
        </w:rPr>
        <w:t xml:space="preserve">Paper Trade Links v. Union of India</w:t>
      </w:r>
      <w:r>
        <w:rPr>
          <w:rFonts w:ascii="Times New Roman" w:cs="Times New Roman" w:eastAsia="Times New Roman" w:hAnsi="Times New Roman"/>
          <w:sz w:val="24"/>
          <w:szCs w:val="24"/>
        </w:rPr>
        <w:t xml:space="preserve">, Madhya Pradesh High Court, W.P. No. 6061 of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which held cross-examination of such witnesses mandatory, following the Supreme Court in </w:t>
      </w:r>
      <w:r>
        <w:rPr>
          <w:rFonts w:ascii="Times New Roman" w:cs="Times New Roman" w:eastAsia="Times New Roman" w:hAnsi="Times New Roman"/>
          <w:i/>
          <w:iCs/>
          <w:sz w:val="24"/>
          <w:szCs w:val="24"/>
        </w:rPr>
        <w:t xml:space="preserve">Ayaaubkhan Noorkhan Pathan v. State of Maharashtra</w:t>
      </w:r>
      <w:r>
        <w:rPr>
          <w:rFonts w:ascii="Times New Roman" w:cs="Times New Roman" w:eastAsia="Times New Roman" w:hAnsi="Times New Roman"/>
          <w:sz w:val="24"/>
          <w:szCs w:val="24"/>
        </w:rPr>
        <w:t xml:space="preserve">, 2013 (8) TMI 563 (SC)</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w:t>
      </w:r>
    </w:p>
    <w:p>
      <w:pPr>
        <w:pStyle w:val="Heading1"/>
        <w:spacing w:after="140" w:before="280"/>
      </w:pPr>
      <w:r>
        <w:rPr>
          <w:rFonts w:ascii="Times New Roman" w:cs="Times New Roman" w:eastAsia="Times New Roman" w:hAnsi="Times New Roman"/>
          <w:b/>
          <w:bCs/>
          <w:sz w:val="26"/>
          <w:szCs w:val="26"/>
        </w:rPr>
        <w:t xml:space="preserve">PART B — THE CREDIT IS GENUINE AND CANNOT BE DENIED ON THE SUPPLIER’S DEFAULT ALONE</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supplier held a valid registration when each transaction occurred; the goods were received; tax invoices were issued; and payment, including the tax, was made through banking channels (documents enclosed). Section 155 places the burden of establishing eligibility on the recipient, and that burden is discharged by this material; it does not relieve the Department of its duty to disclose the adverse material it relies on.</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Credit cannot be denied merely because the supplier was later found absent or its registration was later cancelled, without examining the genuineness of the transaction. Reliance is placed on the bona fide-purchaser line — </w:t>
      </w:r>
      <w:r>
        <w:rPr>
          <w:rFonts w:ascii="Times New Roman" w:cs="Times New Roman" w:eastAsia="Times New Roman" w:hAnsi="Times New Roman"/>
          <w:i/>
          <w:iCs/>
          <w:sz w:val="24"/>
          <w:szCs w:val="24"/>
        </w:rPr>
        <w:t xml:space="preserve">LGW Industries</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Sanchita Kundu</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Gargo Traders</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(Calcutta) — and on </w:t>
      </w:r>
      <w:r>
        <w:rPr>
          <w:rFonts w:ascii="Times New Roman" w:cs="Times New Roman" w:eastAsia="Times New Roman" w:hAnsi="Times New Roman"/>
          <w:i/>
          <w:iCs/>
          <w:sz w:val="24"/>
          <w:szCs w:val="24"/>
        </w:rPr>
        <w:t xml:space="preserve">Himalaya Communication Pvt Ltd v. Union of India</w:t>
      </w:r>
      <w:r>
        <w:rPr>
          <w:rFonts w:ascii="Times New Roman" w:cs="Times New Roman" w:eastAsia="Times New Roman" w:hAnsi="Times New Roman"/>
          <w:sz w:val="24"/>
          <w:szCs w:val="24"/>
        </w:rPr>
        <w:t xml:space="preserve">, Himachal Pradesh High Court, CWP No. 8809 of 2025, dated 6 June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holding that credit cannot be denied solely on the retrospective cancellation of the supplier’s registration without examining the transaction. The question whether credit may be denied only because the seller’s registration was later cancelled, though valid at the transaction date, is presently before the Supreme Court (</w:t>
      </w:r>
      <w:r>
        <w:rPr>
          <w:rFonts w:ascii="Times New Roman" w:cs="Times New Roman" w:eastAsia="Times New Roman" w:hAnsi="Times New Roman"/>
          <w:i/>
          <w:iCs/>
          <w:sz w:val="24"/>
          <w:szCs w:val="24"/>
        </w:rPr>
        <w:t xml:space="preserve">Roshan Sharma</w:t>
      </w:r>
      <w:r>
        <w:rPr>
          <w:rFonts w:ascii="Times New Roman" w:cs="Times New Roman" w:eastAsia="Times New Roman" w:hAnsi="Times New Roman"/>
          <w:sz w:val="24"/>
          <w:szCs w:val="24"/>
        </w:rPr>
        <w:t xml:space="preserve">, SLP(C) No. 31296 of 2025, the High Court’s order having been stayed on 10 November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proceedings should abide that consideration where the point is determinative.</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expression ‘non-genuine taxpayer’ is an administrative classification with no statutory definition; an internal listing of the supplier cannot, of itself and without disclosed, testable material, displace the recipient’s documented and genuine credit.</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relied-upon documents be supplied and cross-examination of any deponent be permitted before any adverse order; that the proposed reversal be dropped, the credit being genuine and duly supported; and that a personal hearing be granted.</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2026-06-13T08:13:11.910Z</dcterms:created>
  <dcterms:modified xsi:type="dcterms:W3CDTF">2026-06-13T08:13:11.910Z</dcterms:modified>
</cp:coreProperties>
</file>

<file path=docProps/custom.xml><?xml version="1.0" encoding="utf-8"?>
<Properties xmlns="http://schemas.openxmlformats.org/officeDocument/2006/custom-properties" xmlns:vt="http://schemas.openxmlformats.org/officeDocument/2006/docPropsVTypes"/>
</file>