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Times New Roman" w:cs="Times New Roman" w:eastAsia="Times New Roman" w:hAnsi="Times New Roman"/>
          <w:b/>
          <w:bCs/>
          <w:sz w:val="24"/>
          <w:szCs w:val="24"/>
        </w:rPr>
        <w:t xml:space="preserve">To,</w:t>
      </w:r>
    </w:p>
    <w:p>
      <w:pPr>
        <w:spacing w:after="60"/>
        <w:jc w:val="left"/>
      </w:pPr>
      <w:r>
        <w:rPr>
          <w:rFonts w:ascii="Times New Roman" w:cs="Times New Roman" w:eastAsia="Times New Roman" w:hAnsi="Times New Roman"/>
          <w:sz w:val="24"/>
          <w:szCs w:val="24"/>
        </w:rPr>
        <w:t xml:space="preserve">The Proper Officer (State Tax) / </w:t>
      </w:r>
      <w:r>
        <w:rPr>
          <w:rFonts w:ascii="Times New Roman" w:cs="Times New Roman" w:eastAsia="Times New Roman" w:hAnsi="Times New Roman"/>
          <w:b/>
          <w:bCs/>
          <w:sz w:val="24"/>
          <w:szCs w:val="24"/>
        </w:rPr>
        <w:t xml:space="preserve">[Designation]</w:t>
      </w:r>
    </w:p>
    <w:p>
      <w:pPr>
        <w:spacing w:after="60"/>
        <w:jc w:val="left"/>
      </w:pPr>
      <w:r>
        <w:rPr>
          <w:rFonts w:ascii="Times New Roman" w:cs="Times New Roman" w:eastAsia="Times New Roman" w:hAnsi="Times New Roman"/>
          <w:b/>
          <w:bCs/>
          <w:sz w:val="24"/>
          <w:szCs w:val="24"/>
        </w:rPr>
        <w:t xml:space="preserve">[Ward / Circle / Jurisdiction]</w:t>
      </w:r>
    </w:p>
    <w:p>
      <w:pPr>
        <w:spacing w:after="60"/>
        <w:jc w:val="left"/>
      </w:pPr>
      <w:r>
        <w:rPr>
          <w:rFonts w:ascii="Times New Roman" w:cs="Times New Roman" w:eastAsia="Times New Roman" w:hAnsi="Times New Roman"/>
          <w:b/>
          <w:bCs/>
          <w:sz w:val="24"/>
          <w:szCs w:val="24"/>
        </w:rPr>
        <w:t xml:space="preserve">[Office Address]</w:t>
      </w:r>
    </w:p>
    <w:p>
      <w:pPr>
        <w:spacing w:after="120"/>
      </w:pPr>
    </w:p>
    <w:p>
      <w:pPr>
        <w:spacing w:after="160" w:line="276"/>
        <w:jc w:val="both"/>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 to the show cause notice under Section 73 — the tax having been paid through FORM GST DRC-03 before the notice / within thirty days of it — no penalty being leviable, the proceedings standing concluded under Section 73(6) / 73(8).</w:t>
      </w:r>
    </w:p>
    <w:p>
      <w:pPr>
        <w:spacing w:after="160" w:line="276"/>
        <w:jc w:val="both"/>
      </w:pPr>
      <w:r>
        <w:rPr>
          <w:rFonts w:ascii="Times New Roman" w:cs="Times New Roman" w:eastAsia="Times New Roman" w:hAnsi="Times New Roman"/>
          <w:i/>
          <w:iCs/>
          <w:sz w:val="24"/>
          <w:szCs w:val="24"/>
        </w:rPr>
        <w:t xml:space="preserve">Drafting note (to be removed before filing): </w:t>
      </w:r>
      <w:r>
        <w:rPr>
          <w:rFonts w:ascii="Times New Roman" w:cs="Times New Roman" w:eastAsia="Times New Roman" w:hAnsi="Times New Roman"/>
          <w:i/>
          <w:iCs/>
          <w:sz w:val="24"/>
          <w:szCs w:val="24"/>
        </w:rPr>
        <w:t xml:space="preserve">Place of execution Mumbai; addressee jurisdiction to be reconciled. DRC-03 particulars and dates to be completed. Ensure interest under Section 50 accompanied the tax — it is a condition of the deemed conclusion. Where the period is FY 2017-18 to 2019-20, the closed-window note below applies.</w:t>
      </w:r>
    </w:p>
    <w:p>
      <w:pPr>
        <w:pStyle w:val="Heading1"/>
        <w:spacing w:after="140" w:before="280"/>
      </w:pPr>
      <w:r>
        <w:rPr>
          <w:rFonts w:ascii="Times New Roman" w:cs="Times New Roman" w:eastAsia="Times New Roman" w:hAnsi="Times New Roman"/>
          <w:b/>
          <w:bCs/>
          <w:sz w:val="26"/>
          <w:szCs w:val="26"/>
        </w:rPr>
        <w:t xml:space="preserve">SYNOPSIS</w:t>
      </w:r>
    </w:p>
    <w:p>
      <w:pPr>
        <w:spacing w:after="160" w:line="276"/>
        <w:jc w:val="both"/>
      </w:pPr>
      <w:r>
        <w:rPr>
          <w:rFonts w:ascii="Times New Roman" w:cs="Times New Roman" w:eastAsia="Times New Roman" w:hAnsi="Times New Roman"/>
          <w:sz w:val="24"/>
          <w:szCs w:val="24"/>
        </w:rPr>
        <w:t xml:space="preserve">The notice proposes a penalty of ten per cent under Section 73(9) although the tax was paid through FORM GST DRC-03 — either before the notice, or within thirty days of it. In the first case Section 73(6) bars any notice and any penalty; in the second Section 73(8) deems all proceedings in respect of the notice to be concluded, with no penalty. The penalty under Section 73(9) arises only in the residual case where the demand is adjudicated and confirmed — not where the taxpayer pays within the statutory window. The proposal is therefore contrary to the section’s own scheme.</w:t>
      </w:r>
    </w:p>
    <w:p>
      <w:pPr>
        <w:pStyle w:val="Heading1"/>
        <w:spacing w:after="140" w:before="280"/>
      </w:pPr>
      <w:r>
        <w:rPr>
          <w:rFonts w:ascii="Times New Roman" w:cs="Times New Roman" w:eastAsia="Times New Roman" w:hAnsi="Times New Roman"/>
          <w:b/>
          <w:bCs/>
          <w:sz w:val="26"/>
          <w:szCs w:val="26"/>
        </w:rPr>
        <w:t xml:space="preserve">FACTUAL BACKGROUND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On the issue being pointed out, the registered person paid the tax of Rs.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with interest under Section 50 through FORM GST DRC-03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 [before the notice] / [within thirty days of the notice dated </w:t>
      </w:r>
      <w:r>
        <w:rPr>
          <w:rFonts w:ascii="Times New Roman" w:cs="Times New Roman" w:eastAsia="Times New Roman" w:hAnsi="Times New Roman"/>
          <w:b/>
          <w:bCs/>
          <w:sz w:val="24"/>
          <w:szCs w:val="24"/>
        </w:rPr>
        <w:t xml:space="preserve">[____]</w:t>
      </w:r>
      <w:r>
        <w:rPr>
          <w:rFonts w:ascii="Times New Roman" w:cs="Times New Roman" w:eastAsia="Times New Roman" w:hAnsi="Times New Roman"/>
          <w:sz w:val="24"/>
          <w:szCs w:val="24"/>
        </w:rPr>
        <w:t xml:space="preserve">] (acknowledgment enclosed).</w:t>
      </w:r>
    </w:p>
    <w:p>
      <w:pPr>
        <w:pStyle w:val="ListParagraph"/>
        <w:numPr>
          <w:ilvl w:val="0"/>
          <w:numId w:val="2"/>
        </w:numPr>
        <w:spacing w:after="160" w:line="276"/>
        <w:jc w:val="both"/>
      </w:pPr>
      <w:r>
        <w:rPr>
          <w:rFonts w:ascii="Times New Roman" w:cs="Times New Roman" w:eastAsia="Times New Roman" w:hAnsi="Times New Roman"/>
          <w:sz w:val="24"/>
          <w:szCs w:val="24"/>
        </w:rPr>
        <w:t xml:space="preserve">The notice nonetheless proposes a penalty of ten per cent of the tax under Section 73(9).</w:t>
      </w:r>
    </w:p>
    <w:p>
      <w:pPr>
        <w:pStyle w:val="Heading1"/>
        <w:spacing w:after="140" w:before="280"/>
      </w:pPr>
      <w:r>
        <w:rPr>
          <w:rFonts w:ascii="Times New Roman" w:cs="Times New Roman" w:eastAsia="Times New Roman" w:hAnsi="Times New Roman"/>
          <w:b/>
          <w:bCs/>
          <w:sz w:val="26"/>
          <w:szCs w:val="26"/>
        </w:rPr>
        <w:t xml:space="preserve">SUBMISSIONS</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Where tax with interest is paid before the notice, Section 73(5) read with Section 73(6) operates: the proper officer “shall not serve any notice… in respect of the tax so paid or any penalty payable.” Where the payment is made within thirty days of the notice, Section 73(8) operates: “all proceedings in respect of the said notice shall be deemed to be concluded” — and no penalty is leviable. The penalty under Section 73(9) is confined to the residual case where the matter proceeds to adjudication and the demand is confirmed.</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Section 73(11) — which alone provides for a Section 73(9) penalty despite payment — applies only where self-assessed tax, or any amount collected as tax, is not paid within thirty days of the due date. It has no application to a disputed demand paid within the notice window. CBIC Circular No. 76/50/2018-GST dated 31 December 2018</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confirms that the Section 73(11) penalty is not to be levied in cases outside Section 73(1), a general penalty under Section 125 being the appropriate course there.</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deemed conclusion is enforced by the courts: in </w:t>
      </w:r>
      <w:r>
        <w:rPr>
          <w:rFonts w:ascii="Times New Roman" w:cs="Times New Roman" w:eastAsia="Times New Roman" w:hAnsi="Times New Roman"/>
          <w:i/>
          <w:iCs/>
          <w:sz w:val="24"/>
          <w:szCs w:val="24"/>
        </w:rPr>
        <w:t xml:space="preserve">Rays Power Infra Pvt Ltd v. Superintendent of Central Tax</w:t>
      </w:r>
      <w:r>
        <w:rPr>
          <w:rFonts w:ascii="Times New Roman" w:cs="Times New Roman" w:eastAsia="Times New Roman" w:hAnsi="Times New Roman"/>
          <w:sz w:val="24"/>
          <w:szCs w:val="24"/>
        </w:rPr>
        <w:t xml:space="preserve">, W.P. No. 298 of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payment of tax with interest was held to conclude the proceedings; and in </w:t>
      </w:r>
      <w:r>
        <w:rPr>
          <w:rFonts w:ascii="Times New Roman" w:cs="Times New Roman" w:eastAsia="Times New Roman" w:hAnsi="Times New Roman"/>
          <w:i/>
          <w:iCs/>
          <w:sz w:val="24"/>
          <w:szCs w:val="24"/>
        </w:rPr>
        <w:t xml:space="preserve">Delhi Sales Corporation v. Principal Commissioner of Central Tax</w:t>
      </w:r>
      <w:r>
        <w:rPr>
          <w:rFonts w:ascii="Times New Roman" w:cs="Times New Roman" w:eastAsia="Times New Roman" w:hAnsi="Times New Roman"/>
          <w:sz w:val="24"/>
          <w:szCs w:val="24"/>
        </w:rPr>
        <w:t xml:space="preserve">, dated 24 November 2025</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pre-notice payment was held to bar further proceedings. Two conditions are satisfied here: the payment was within the statutory window, and it was accompanied by interest under Section 50.</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The payment having been made in FORM GST DRC-03, the amount is liable to be adjusted against the demand through FORM GST DRC-03A in terms of Rule 142(2B) read with Circular No. 224/18/2024-GST dated 11 July 2024</w:t>
      </w:r>
      <w:r>
        <w:rPr>
          <w:rFonts w:ascii="Times New Roman" w:cs="Times New Roman" w:eastAsia="Times New Roman" w:hAnsi="Times New Roman"/>
          <w:b/>
          <w:bCs/>
          <w:sz w:val="24"/>
          <w:szCs w:val="24"/>
        </w:rPr>
        <w:t xml:space="preserve"> [VERIFY]</w:t>
      </w:r>
      <w:r>
        <w:rPr>
          <w:rFonts w:ascii="Times New Roman" w:cs="Times New Roman" w:eastAsia="Times New Roman" w:hAnsi="Times New Roman"/>
          <w:sz w:val="24"/>
          <w:szCs w:val="24"/>
        </w:rPr>
        <w:t xml:space="preserve">; the registered person seeks that adjustment.</w:t>
      </w:r>
    </w:p>
    <w:p>
      <w:pPr>
        <w:spacing w:after="160" w:line="276"/>
        <w:jc w:val="both"/>
      </w:pPr>
      <w:r>
        <w:rPr>
          <w:rFonts w:ascii="Times New Roman" w:cs="Times New Roman" w:eastAsia="Times New Roman" w:hAnsi="Times New Roman"/>
          <w:b/>
          <w:bCs/>
          <w:i/>
          <w:iCs/>
          <w:sz w:val="24"/>
          <w:szCs w:val="24"/>
        </w:rPr>
        <w:t xml:space="preserve">Note on the Section 128A waiver (for the record): </w:t>
      </w:r>
      <w:r>
        <w:rPr>
          <w:rFonts w:ascii="Times New Roman" w:cs="Times New Roman" w:eastAsia="Times New Roman" w:hAnsi="Times New Roman"/>
          <w:i/>
          <w:iCs/>
          <w:sz w:val="24"/>
          <w:szCs w:val="24"/>
        </w:rPr>
        <w:t xml:space="preserve">this demand pertains to a financial year (FY 2017-18, 2018-19 or 2019-20) for which Section 128A offered a waiver of interest and penalty on payment of the tax, subject to payment by 31 March 2025 and application (FORM GST SPL-01/SPL-02) by 30 June 2025. Those statutory cut-offs having passed, the 128A route is no longer available; the matter is therefore contested on merits. The note is retained only to record that the amnesty option was considered and has lapsed.</w:t>
      </w:r>
    </w:p>
    <w:p>
      <w:pPr>
        <w:pStyle w:val="Heading1"/>
        <w:spacing w:after="140" w:before="280"/>
      </w:pPr>
      <w:r>
        <w:rPr>
          <w:rFonts w:ascii="Times New Roman" w:cs="Times New Roman" w:eastAsia="Times New Roman" w:hAnsi="Times New Roman"/>
          <w:b/>
          <w:bCs/>
          <w:sz w:val="26"/>
          <w:szCs w:val="26"/>
        </w:rPr>
        <w:t xml:space="preserve">PRAYER</w:t>
      </w:r>
    </w:p>
    <w:p>
      <w:pPr>
        <w:spacing w:after="160" w:line="276"/>
        <w:jc w:val="both"/>
      </w:pPr>
      <w:r>
        <w:rPr>
          <w:rFonts w:ascii="Times New Roman" w:cs="Times New Roman" w:eastAsia="Times New Roman" w:hAnsi="Times New Roman"/>
          <w:sz w:val="24"/>
          <w:szCs w:val="24"/>
        </w:rPr>
        <w:t xml:space="preserve">It is prayed that the proposal to levy penalty under Section 73(9) be dropped, the tax with interest having been paid within the statutory window so that the proceedings stand concluded under Section 73(6) / 73(8); that the DRC-03 payment be adjusted through FORM GST DRC-03A; and that a personal hearing be granted before any adverse order.</w:t>
      </w:r>
    </w:p>
    <w:p>
      <w:pPr>
        <w:spacing w:after="60" w:before="240"/>
      </w:pPr>
      <w:r>
        <w:rPr>
          <w:rFonts w:ascii="Times New Roman" w:cs="Times New Roman" w:eastAsia="Times New Roman" w:hAnsi="Times New Roman"/>
          <w:sz w:val="24"/>
          <w:szCs w:val="24"/>
        </w:rPr>
        <w:t xml:space="preserve">Yours faithfully,</w:t>
      </w:r>
    </w:p>
    <w:p>
      <w:r>
        <w:rPr>
          <w:rFonts w:ascii="Times New Roman" w:cs="Times New Roman" w:eastAsia="Times New Roman" w:hAnsi="Times New Roman"/>
          <w:sz w:val="24"/>
          <w:szCs w:val="24"/>
        </w:rPr>
        <w:t xml:space="preserve">For and on behalf of</w:t>
      </w:r>
    </w:p>
    <w:p>
      <w:r>
        <w:rPr>
          <w:rFonts w:ascii="Times New Roman" w:cs="Times New Roman" w:eastAsia="Times New Roman" w:hAnsi="Times New Roman"/>
          <w:b/>
          <w:bCs/>
          <w:sz w:val="24"/>
          <w:szCs w:val="24"/>
        </w:rPr>
        <w:t xml:space="preserve">M/s Noticedesk Technologies Private Limited</w:t>
      </w:r>
    </w:p>
    <w:p>
      <w:pPr>
        <w:spacing w:before="200"/>
      </w:pPr>
      <w:r>
        <w:rPr>
          <w:rFonts w:ascii="Times New Roman" w:cs="Times New Roman" w:eastAsia="Times New Roman" w:hAnsi="Times New Roman"/>
          <w:sz w:val="24"/>
          <w:szCs w:val="24"/>
        </w:rPr>
        <w:t xml:space="preserve">_______________________________</w:t>
      </w:r>
    </w:p>
    <w:p>
      <w:r>
        <w:rPr>
          <w:rFonts w:ascii="Times New Roman" w:cs="Times New Roman" w:eastAsia="Times New Roman" w:hAnsi="Times New Roman"/>
          <w:b/>
          <w:bCs/>
          <w:sz w:val="24"/>
          <w:szCs w:val="24"/>
        </w:rPr>
        <w:t xml:space="preserve">Authorised Signatory / Director</w:t>
      </w:r>
    </w:p>
    <w:p>
      <w:pPr>
        <w:spacing w:before="120"/>
      </w:pPr>
      <w:r>
        <w:rPr>
          <w:rFonts w:ascii="Times New Roman" w:cs="Times New Roman" w:eastAsia="Times New Roman" w:hAnsi="Times New Roman"/>
          <w:sz w:val="24"/>
          <w:szCs w:val="24"/>
        </w:rPr>
        <w:t xml:space="preserve">Place: Mumbai</w:t>
      </w:r>
    </w:p>
    <w:p>
      <w:r>
        <w:rPr>
          <w:rFonts w:ascii="Times New Roman" w:cs="Times New Roman" w:eastAsia="Times New Roman" w:hAnsi="Times New Roman"/>
          <w:sz w:val="24"/>
          <w:szCs w:val="24"/>
        </w:rPr>
        <w:t xml:space="preserve">Date: [____]</w:t>
      </w:r>
    </w:p>
    <w:p>
      <w:pPr>
        <w:spacing w:before="120"/>
      </w:pPr>
      <w:r>
        <w:rPr>
          <w:rFonts w:ascii="Times New Roman" w:cs="Times New Roman" w:eastAsia="Times New Roman" w:hAnsi="Times New Roman"/>
          <w:i/>
          <w:iCs/>
          <w:sz w:val="24"/>
          <w:szCs w:val="24"/>
        </w:rPr>
        <w:t xml:space="preserve">Filed through [____], Authorised Representative.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720"/>
      </w:pPr>
      <w:rPr>
        <w:b/>
        <w:bCs/>
      </w:rPr>
    </w:lvl>
  </w:abstractNum>
  <w:abstractNum w:abstractNumId="4" w15:restartNumberingAfterBreak="0">
    <w:multiLevelType w:val="hybridMultilevel"/>
    <w:lvl w:ilvl="0" w15:tentative="1">
      <w:start w:val="1"/>
      <w:numFmt w:val="decimal"/>
      <w:lvlText w:val="%1."/>
      <w:lvlJc w:val="left"/>
      <w:pPr>
        <w:ind w:left="720" w:hanging="720"/>
      </w:pPr>
      <w:rPr>
        <w:b/>
        <w:bCs/>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2026-06-13T08:13:12.014Z</dcterms:created>
  <dcterms:modified xsi:type="dcterms:W3CDTF">2026-06-13T08:13:12.014Z</dcterms:modified>
</cp:coreProperties>
</file>

<file path=docProps/custom.xml><?xml version="1.0" encoding="utf-8"?>
<Properties xmlns="http://schemas.openxmlformats.org/officeDocument/2006/custom-properties" xmlns:vt="http://schemas.openxmlformats.org/officeDocument/2006/docPropsVTypes"/>
</file>