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Times New Roman" w:cs="Times New Roman" w:eastAsia="Times New Roman" w:hAnsi="Times New Roman"/>
          <w:b/>
          <w:bCs/>
          <w:sz w:val="24"/>
          <w:szCs w:val="24"/>
        </w:rPr>
        <w:t xml:space="preserve">To,</w:t>
      </w:r>
    </w:p>
    <w:p>
      <w:pPr>
        <w:spacing w:after="60"/>
        <w:jc w:val="left"/>
      </w:pPr>
      <w:r>
        <w:rPr>
          <w:rFonts w:ascii="Times New Roman" w:cs="Times New Roman" w:eastAsia="Times New Roman" w:hAnsi="Times New Roman"/>
          <w:sz w:val="24"/>
          <w:szCs w:val="24"/>
        </w:rPr>
        <w:t xml:space="preserve">The Proper Officer (State Tax) / </w:t>
      </w:r>
      <w:r>
        <w:rPr>
          <w:rFonts w:ascii="Times New Roman" w:cs="Times New Roman" w:eastAsia="Times New Roman" w:hAnsi="Times New Roman"/>
          <w:b/>
          <w:bCs/>
          <w:sz w:val="24"/>
          <w:szCs w:val="24"/>
        </w:rPr>
        <w:t xml:space="preserve">[Designation]</w:t>
      </w:r>
    </w:p>
    <w:p>
      <w:pPr>
        <w:spacing w:after="60"/>
        <w:jc w:val="left"/>
      </w:pPr>
      <w:r>
        <w:rPr>
          <w:rFonts w:ascii="Times New Roman" w:cs="Times New Roman" w:eastAsia="Times New Roman" w:hAnsi="Times New Roman"/>
          <w:b/>
          <w:bCs/>
          <w:sz w:val="24"/>
          <w:szCs w:val="24"/>
        </w:rPr>
        <w:t xml:space="preserve">[Ward / Circle / Jurisdiction]</w:t>
      </w:r>
    </w:p>
    <w:p>
      <w:pPr>
        <w:spacing w:after="60"/>
        <w:jc w:val="left"/>
      </w:pPr>
      <w:r>
        <w:rPr>
          <w:rFonts w:ascii="Times New Roman" w:cs="Times New Roman" w:eastAsia="Times New Roman" w:hAnsi="Times New Roman"/>
          <w:b/>
          <w:bCs/>
          <w:sz w:val="24"/>
          <w:szCs w:val="24"/>
        </w:rPr>
        <w:t xml:space="preserve">[Office Address]</w:t>
      </w:r>
    </w:p>
    <w:p>
      <w:pPr>
        <w:spacing w:after="120"/>
      </w:pPr>
    </w:p>
    <w:p>
      <w:pPr>
        <w:spacing w:after="160" w:line="276"/>
        <w:jc w:val="both"/>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Application under Section 161 for rectification of the order in FORM GST DRC-07 — the order being ex parte, the show cause notice having been uploaded only under the ‘Additional Notices and Orders’ tab and not seen, and the order suffering from errors apparent on the face of the record.</w:t>
      </w:r>
    </w:p>
    <w:p>
      <w:pPr>
        <w:spacing w:after="160" w:line="276"/>
        <w:jc w:val="both"/>
      </w:pPr>
      <w:r>
        <w:rPr>
          <w:rFonts w:ascii="Times New Roman" w:cs="Times New Roman" w:eastAsia="Times New Roman" w:hAnsi="Times New Roman"/>
          <w:i/>
          <w:iCs/>
          <w:sz w:val="24"/>
          <w:szCs w:val="24"/>
        </w:rPr>
        <w:t xml:space="preserve">Drafting note (to be removed before filing): </w:t>
      </w:r>
      <w:r>
        <w:rPr>
          <w:rFonts w:ascii="Times New Roman" w:cs="Times New Roman" w:eastAsia="Times New Roman" w:hAnsi="Times New Roman"/>
          <w:i/>
          <w:iCs/>
          <w:sz w:val="24"/>
          <w:szCs w:val="24"/>
        </w:rPr>
        <w:t xml:space="preserve">Rectification application to the proper officer. Party: M/s Noticedesk Technologies Private Limited; place of execution Mumbai. LIMITATION TRAP: the rectification does not, on the prevailing view, stop the Section 107 appeal clock — a protective appeal under Section 107 must be filed / preserved in parallel. File this within three months of the order.</w:t>
      </w:r>
    </w:p>
    <w:p>
      <w:pPr>
        <w:pStyle w:val="Heading1"/>
        <w:spacing w:after="140" w:before="280"/>
      </w:pPr>
      <w:r>
        <w:rPr>
          <w:rFonts w:ascii="Times New Roman" w:cs="Times New Roman" w:eastAsia="Times New Roman" w:hAnsi="Times New Roman"/>
          <w:b/>
          <w:bCs/>
          <w:sz w:val="26"/>
          <w:szCs w:val="26"/>
        </w:rPr>
        <w:t xml:space="preserve">FACTS</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An order in FORM GST DRC-07 dated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(Ref.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was passed confirming a demand of Rs.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The show cause notice preceding it was uploaded only under the ‘Additional Notices and Orders’ tab of the common portal and was not brought to the registered person’s notice; the order was accordingly passed ex parte, without the registered person’s reply or hearing.</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order suffers from errors apparent on the face of the record, namely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(for example, confirmation of a demand despite tax already paid / a reply already on record / a computation contrary to a binding circular).</w:t>
      </w:r>
    </w:p>
    <w:p>
      <w:pPr>
        <w:pStyle w:val="Heading1"/>
        <w:spacing w:after="140" w:before="280"/>
      </w:pPr>
      <w:r>
        <w:rPr>
          <w:rFonts w:ascii="Times New Roman" w:cs="Times New Roman" w:eastAsia="Times New Roman" w:hAnsi="Times New Roman"/>
          <w:b/>
          <w:bCs/>
          <w:sz w:val="26"/>
          <w:szCs w:val="26"/>
        </w:rPr>
        <w:t xml:space="preserve">SUBMISSIONS</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Section 161 empowers the authority that passed an order to rectify any error apparent on the face of the record, on its own motion or on the application of the affected person made within three months of the order, the rectification to be carried out within six months (save for a clerical or arithmetical error); and the third proviso requires that, where the rectification adversely affects a person, the principles of natural justice be followed. A rectified order is issued in FORM GST DRC-08.</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The non-consideration of a reply already on record, the confirmation of a demand despite payment, and a determination contrary to a binding circular are errors apparent on the face of the record amenable to Section 161. The scope is recognised by the Delhi SGST instruction in F. No. 3(543)/GST/POLICY/2024/1312-18 dated 1 March 2024</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which lists such situations among those fit for rectification.</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Service of the notice only through the ‘Additional Notices and Orders’ tab, before the portal was redesigned in January 2024, has repeatedly been held inadequate, the resulting ex parte orders being set aside and remitted: </w:t>
      </w:r>
      <w:r>
        <w:rPr>
          <w:rFonts w:ascii="Times New Roman" w:cs="Times New Roman" w:eastAsia="Times New Roman" w:hAnsi="Times New Roman"/>
          <w:i/>
          <w:iCs/>
          <w:sz w:val="24"/>
          <w:szCs w:val="24"/>
        </w:rPr>
        <w:t xml:space="preserve">East Coast Constructions &amp; Industries Ltd v. Assistant Commissioner (ST)</w:t>
      </w:r>
      <w:r>
        <w:rPr>
          <w:rFonts w:ascii="Times New Roman" w:cs="Times New Roman" w:eastAsia="Times New Roman" w:hAnsi="Times New Roman"/>
          <w:sz w:val="24"/>
          <w:szCs w:val="24"/>
        </w:rPr>
        <w:t xml:space="preserve">, 2023 (10) TMI 146 (Madras)</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Ace Cardiopathy Solutions Pvt Ltd v. Union of India</w:t>
      </w:r>
      <w:r>
        <w:rPr>
          <w:rFonts w:ascii="Times New Roman" w:cs="Times New Roman" w:eastAsia="Times New Roman" w:hAnsi="Times New Roman"/>
          <w:sz w:val="24"/>
          <w:szCs w:val="24"/>
        </w:rPr>
        <w:t xml:space="preserve">, 2024 (5) TMI 974 (Delhi)</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Bablu Rana</w:t>
      </w:r>
      <w:r>
        <w:rPr>
          <w:rFonts w:ascii="Times New Roman" w:cs="Times New Roman" w:eastAsia="Times New Roman" w:hAnsi="Times New Roman"/>
          <w:sz w:val="24"/>
          <w:szCs w:val="24"/>
        </w:rPr>
        <w:t xml:space="preserve">, 2024 (7) TMI 1300 (Delhi)</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GMT Garments v. Union of India</w:t>
      </w:r>
      <w:r>
        <w:rPr>
          <w:rFonts w:ascii="Times New Roman" w:cs="Times New Roman" w:eastAsia="Times New Roman" w:hAnsi="Times New Roman"/>
          <w:sz w:val="24"/>
          <w:szCs w:val="24"/>
        </w:rPr>
        <w:t xml:space="preserve">, dated 25 April 2025 (Delhi)</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A rectification application cannot be rejected without a hearing: </w:t>
      </w:r>
      <w:r>
        <w:rPr>
          <w:rFonts w:ascii="Times New Roman" w:cs="Times New Roman" w:eastAsia="Times New Roman" w:hAnsi="Times New Roman"/>
          <w:i/>
          <w:iCs/>
          <w:sz w:val="24"/>
          <w:szCs w:val="24"/>
        </w:rPr>
        <w:t xml:space="preserve">HVR Solar Pvt Ltd v. Sales Tax Officer</w:t>
      </w:r>
      <w:r>
        <w:rPr>
          <w:rFonts w:ascii="Times New Roman" w:cs="Times New Roman" w:eastAsia="Times New Roman" w:hAnsi="Times New Roman"/>
          <w:sz w:val="24"/>
          <w:szCs w:val="24"/>
        </w:rPr>
        <w:t xml:space="preserve"> (Delhi High Court)</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and the Madras High Court (12 November 2025)</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set aside rectification orders passed without hearing; and </w:t>
      </w:r>
      <w:r>
        <w:rPr>
          <w:rFonts w:ascii="Times New Roman" w:cs="Times New Roman" w:eastAsia="Times New Roman" w:hAnsi="Times New Roman"/>
          <w:i/>
          <w:iCs/>
          <w:sz w:val="24"/>
          <w:szCs w:val="24"/>
        </w:rPr>
        <w:t xml:space="preserve">Winter Wood Designers &amp; Contractors India Pvt Ltd v. State Tax Officer</w:t>
      </w:r>
      <w:r>
        <w:rPr>
          <w:rFonts w:ascii="Times New Roman" w:cs="Times New Roman" w:eastAsia="Times New Roman" w:hAnsi="Times New Roman"/>
          <w:sz w:val="24"/>
          <w:szCs w:val="24"/>
        </w:rPr>
        <w:t xml:space="preserve">, Kerala High Court, W.P.(C) No. 9086 of 2025, dated 9 June 2025</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recognised duplication as an error apparent rectifiable suo motu.</w:t>
      </w:r>
    </w:p>
    <w:p>
      <w:pPr>
        <w:pStyle w:val="ListParagraph"/>
        <w:numPr>
          <w:ilvl w:val="0"/>
          <w:numId w:val="3"/>
        </w:numPr>
        <w:spacing w:after="160" w:line="276"/>
        <w:jc w:val="both"/>
      </w:pPr>
      <w:r>
        <w:rPr>
          <w:rFonts w:ascii="Times New Roman" w:cs="Times New Roman" w:eastAsia="Times New Roman" w:hAnsi="Times New Roman"/>
          <w:i/>
          <w:iCs/>
          <w:sz w:val="24"/>
          <w:szCs w:val="24"/>
        </w:rPr>
        <w:t xml:space="preserve">Protective step (for the record): </w:t>
      </w:r>
      <w:r>
        <w:rPr>
          <w:rFonts w:ascii="Times New Roman" w:cs="Times New Roman" w:eastAsia="Times New Roman" w:hAnsi="Times New Roman"/>
          <w:i/>
          <w:iCs/>
          <w:sz w:val="24"/>
          <w:szCs w:val="24"/>
        </w:rPr>
        <w:t xml:space="preserve">as the prevailing view is that a pending rectification does not stop the limitation for an appeal under Section 107, the registered person has filed / is filing a protective appeal under Section 107 to preserve its remedy, without prejudice to this application.</w:t>
      </w:r>
    </w:p>
    <w:p>
      <w:pPr>
        <w:pStyle w:val="Heading1"/>
        <w:spacing w:after="140" w:before="280"/>
      </w:pPr>
      <w:r>
        <w:rPr>
          <w:rFonts w:ascii="Times New Roman" w:cs="Times New Roman" w:eastAsia="Times New Roman" w:hAnsi="Times New Roman"/>
          <w:b/>
          <w:bCs/>
          <w:sz w:val="26"/>
          <w:szCs w:val="26"/>
        </w:rPr>
        <w:t xml:space="preserve">PRAYER</w:t>
      </w:r>
    </w:p>
    <w:p>
      <w:pPr>
        <w:spacing w:after="160" w:line="276"/>
        <w:jc w:val="both"/>
      </w:pPr>
      <w:r>
        <w:rPr>
          <w:rFonts w:ascii="Times New Roman" w:cs="Times New Roman" w:eastAsia="Times New Roman" w:hAnsi="Times New Roman"/>
          <w:sz w:val="24"/>
          <w:szCs w:val="24"/>
        </w:rPr>
        <w:t xml:space="preserve">It is prayed that the order in FORM GST DRC-07 be rectified under Section 161 by setting right the errors apparent on the face of the record, after a personal hearing; that the demand be dropped / suitably modified; and that a rectified order in FORM GST DRC-08 be passed accordingly.</w:t>
      </w:r>
    </w:p>
    <w:p>
      <w:pPr>
        <w:spacing w:after="60" w:before="240"/>
      </w:pPr>
      <w:r>
        <w:rPr>
          <w:rFonts w:ascii="Times New Roman" w:cs="Times New Roman" w:eastAsia="Times New Roman" w:hAnsi="Times New Roman"/>
          <w:sz w:val="24"/>
          <w:szCs w:val="24"/>
        </w:rPr>
        <w:t xml:space="preserve">Yours faithfully,</w:t>
      </w:r>
    </w:p>
    <w:p>
      <w:r>
        <w:rPr>
          <w:rFonts w:ascii="Times New Roman" w:cs="Times New Roman" w:eastAsia="Times New Roman" w:hAnsi="Times New Roman"/>
          <w:sz w:val="24"/>
          <w:szCs w:val="24"/>
        </w:rPr>
        <w:t xml:space="preserve">For and on behalf of</w:t>
      </w:r>
    </w:p>
    <w:p>
      <w:r>
        <w:rPr>
          <w:rFonts w:ascii="Times New Roman" w:cs="Times New Roman" w:eastAsia="Times New Roman" w:hAnsi="Times New Roman"/>
          <w:b/>
          <w:bCs/>
          <w:sz w:val="24"/>
          <w:szCs w:val="24"/>
        </w:rPr>
        <w:t xml:space="preserve">M/s Noticedesk Technologies Private Limited</w:t>
      </w:r>
    </w:p>
    <w:p>
      <w:pPr>
        <w:spacing w:before="200"/>
      </w:pPr>
      <w:r>
        <w:rPr>
          <w:rFonts w:ascii="Times New Roman" w:cs="Times New Roman" w:eastAsia="Times New Roman" w:hAnsi="Times New Roman"/>
          <w:sz w:val="24"/>
          <w:szCs w:val="24"/>
        </w:rPr>
        <w:t xml:space="preserve">_______________________________</w:t>
      </w:r>
    </w:p>
    <w:p>
      <w:r>
        <w:rPr>
          <w:rFonts w:ascii="Times New Roman" w:cs="Times New Roman" w:eastAsia="Times New Roman" w:hAnsi="Times New Roman"/>
          <w:b/>
          <w:bCs/>
          <w:sz w:val="24"/>
          <w:szCs w:val="24"/>
        </w:rPr>
        <w:t xml:space="preserve">Authorised Signatory / Director</w:t>
      </w:r>
    </w:p>
    <w:p>
      <w:pPr>
        <w:spacing w:before="120"/>
      </w:pPr>
      <w:r>
        <w:rPr>
          <w:rFonts w:ascii="Times New Roman" w:cs="Times New Roman" w:eastAsia="Times New Roman" w:hAnsi="Times New Roman"/>
          <w:sz w:val="24"/>
          <w:szCs w:val="24"/>
        </w:rPr>
        <w:t xml:space="preserve">Place: Mumbai</w:t>
      </w:r>
    </w:p>
    <w:p>
      <w:r>
        <w:rPr>
          <w:rFonts w:ascii="Times New Roman" w:cs="Times New Roman" w:eastAsia="Times New Roman" w:hAnsi="Times New Roman"/>
          <w:sz w:val="24"/>
          <w:szCs w:val="24"/>
        </w:rPr>
        <w:t xml:space="preserve">Date: [____]</w:t>
      </w:r>
    </w:p>
    <w:p>
      <w:pPr>
        <w:spacing w:before="120"/>
      </w:pPr>
      <w:r>
        <w:rPr>
          <w:rFonts w:ascii="Times New Roman" w:cs="Times New Roman" w:eastAsia="Times New Roman" w:hAnsi="Times New Roman"/>
          <w:i/>
          <w:iCs/>
          <w:sz w:val="24"/>
          <w:szCs w:val="24"/>
        </w:rPr>
        <w:t xml:space="preserve">Filed through [____], Authorised Representative.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720"/>
      </w:pPr>
      <w:rPr>
        <w:b/>
        <w:bCs/>
      </w:rPr>
    </w:lvl>
  </w:abstractNum>
  <w:abstractNum w:abstractNumId="4" w15:restartNumberingAfterBreak="0">
    <w:multiLevelType w:val="hybridMultilevel"/>
    <w:lvl w:ilvl="0" w15:tentative="1">
      <w:start w:val="1"/>
      <w:numFmt w:val="decimal"/>
      <w:lvlText w:val="%1."/>
      <w:lvlJc w:val="left"/>
      <w:pPr>
        <w:ind w:left="720" w:hanging="720"/>
      </w:pPr>
      <w:rPr>
        <w:b/>
        <w:bCs/>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2026-06-13T08:13:12.089Z</dcterms:created>
  <dcterms:modified xsi:type="dcterms:W3CDTF">2026-06-13T08:13:12.090Z</dcterms:modified>
</cp:coreProperties>
</file>

<file path=docProps/custom.xml><?xml version="1.0" encoding="utf-8"?>
<Properties xmlns="http://schemas.openxmlformats.org/officeDocument/2006/custom-properties" xmlns:vt="http://schemas.openxmlformats.org/officeDocument/2006/docPropsVTypes"/>
</file>