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MOV-07 proposing penalty under Section 129 — the conveyance having been changed mid-transit upon a breakdown and Part B of the e-way bill not having been updated — a curable, procedural lapse without any intent to evade tax.</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The 'Kristna Engineering Works' citation in the source file could not be verified and has been REPLACED with confirmed authority. Enclose the breakdown proof (garage bill, photographs, driver's statement) and establish the identity of the goods by the chassis/engine number. Plead absence of intent expressly.</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goods moved under a proper tax invoice and e-way bill; in transit the conveyance broke down and the goods were shifted to another vehicle to meet the delivery, but Part B of the e-way bill was not updated owing to the driver’s oversight. On interception the documents were produced and the goods tallied with the invoice. A failure to update the vehicle number in Part B, the goods being the same and the tax paid, is a procedural lapse that does not attract Section 129, which requires an intent to evade tax. At most a general penalty under Section 125 is attracted.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despatched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(HSN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 M/s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under invoice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e-way bill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in vehicle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In transit the vehicle broke down near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it could not be repaired in time, and the goods were shifted to vehicle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to avoid delay. Part B of the e-way bill was not updated, owing to the driver’s oversight. The goods were intercepted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near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documents were produced; and a notice in FORM GST MOV-07 issued, alleging that the actual vehicle differed from that in the e-way bill.</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Rule 138 requires Part B to be updated on a change of conveyance (Rule 138(5)) and permits extension of validity (Rule 138(10)); a failure to do so, where the goods, the invoice and the e-way bill otherwise tally, is a procedural breach. Section 129 is attracted only where goods are transported in contravention with an intent to evade tax; the identity of the goods being established (including by the chassis / engine number), and the tax having been paid, no intent to evade can be presumed. The Supreme Court so held in affirming </w:t>
      </w:r>
      <w:r>
        <w:rPr>
          <w:rFonts w:ascii="Times New Roman" w:cs="Times New Roman" w:eastAsia="Times New Roman" w:hAnsi="Times New Roman"/>
          <w:i/>
          <w:iCs/>
          <w:sz w:val="24"/>
          <w:szCs w:val="24"/>
        </w:rPr>
        <w:t xml:space="preserve">Satyam Shivam Papers Pvt Ltd</w:t>
      </w:r>
      <w:r>
        <w:rPr>
          <w:rFonts w:ascii="Times New Roman" w:cs="Times New Roman" w:eastAsia="Times New Roman" w:hAnsi="Times New Roman"/>
          <w:sz w:val="24"/>
          <w:szCs w:val="24"/>
        </w:rPr>
        <w:t xml:space="preserve"> (SLP(C) No. 21132 of 2021, order dated 12 January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vehicle-change / breakdown situation is squarely covered. In </w:t>
      </w:r>
      <w:r>
        <w:rPr>
          <w:rFonts w:ascii="Times New Roman" w:cs="Times New Roman" w:eastAsia="Times New Roman" w:hAnsi="Times New Roman"/>
          <w:i/>
          <w:iCs/>
          <w:sz w:val="24"/>
          <w:szCs w:val="24"/>
        </w:rPr>
        <w:t xml:space="preserve">Maa Amba Builders v. Assistant Commissioner of Revenue, State Tax</w:t>
      </w:r>
      <w:r>
        <w:rPr>
          <w:rFonts w:ascii="Times New Roman" w:cs="Times New Roman" w:eastAsia="Times New Roman" w:hAnsi="Times New Roman"/>
          <w:sz w:val="24"/>
          <w:szCs w:val="24"/>
        </w:rPr>
        <w:t xml:space="preserve">, [2024] 162 taxmann.com 660 (Calcutta)</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no penalty was sustained for an expired e-way bill owing to a breakdown, absent wilful misconduct. The Karnataka High Court in </w:t>
      </w:r>
      <w:r>
        <w:rPr>
          <w:rFonts w:ascii="Times New Roman" w:cs="Times New Roman" w:eastAsia="Times New Roman" w:hAnsi="Times New Roman"/>
          <w:i/>
          <w:iCs/>
          <w:sz w:val="24"/>
          <w:szCs w:val="24"/>
        </w:rPr>
        <w:t xml:space="preserve">Hysum Steel v. Joint Commissioner of Commercial Taxes (Appeals), Mangaluru</w:t>
      </w:r>
      <w:r>
        <w:rPr>
          <w:rFonts w:ascii="Times New Roman" w:cs="Times New Roman" w:eastAsia="Times New Roman" w:hAnsi="Times New Roman"/>
          <w:sz w:val="24"/>
          <w:szCs w:val="24"/>
        </w:rPr>
        <w:t xml:space="preserve">, dated 5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restricted the levy to a general penalty of Rs. 25,000 under Section 125. The Gujarat High Court in </w:t>
      </w:r>
      <w:r>
        <w:rPr>
          <w:rFonts w:ascii="Times New Roman" w:cs="Times New Roman" w:eastAsia="Times New Roman" w:hAnsi="Times New Roman"/>
          <w:i/>
          <w:iCs/>
          <w:sz w:val="24"/>
          <w:szCs w:val="24"/>
        </w:rPr>
        <w:t xml:space="preserve">Landmark Cars (P) Ltd v. Union of India</w:t>
      </w:r>
      <w:r>
        <w:rPr>
          <w:rFonts w:ascii="Times New Roman" w:cs="Times New Roman" w:eastAsia="Times New Roman" w:hAnsi="Times New Roman"/>
          <w:sz w:val="24"/>
          <w:szCs w:val="24"/>
        </w:rPr>
        <w:t xml:space="preserve">, R/Special Civil Application No. 1487 of 2020, dated 14 June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treated a vehicle-number mismatch following a breakdown / replacement as a minor error under Circular No. 64/38/2018-GST, attracting only a nominal penalty. The Allahabad High Court in </w:t>
      </w:r>
      <w:r>
        <w:rPr>
          <w:rFonts w:ascii="Times New Roman" w:cs="Times New Roman" w:eastAsia="Times New Roman" w:hAnsi="Times New Roman"/>
          <w:i/>
          <w:iCs/>
          <w:sz w:val="24"/>
          <w:szCs w:val="24"/>
        </w:rPr>
        <w:t xml:space="preserve">Om Enterprises v. Additional Commissioner Grade-2 (Appeal)</w:t>
      </w:r>
      <w:r>
        <w:rPr>
          <w:rFonts w:ascii="Times New Roman" w:cs="Times New Roman" w:eastAsia="Times New Roman" w:hAnsi="Times New Roman"/>
          <w:sz w:val="24"/>
          <w:szCs w:val="24"/>
        </w:rPr>
        <w:t xml:space="preserve">, dated 13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set aside a Section 129 penalty where the e-way bill was generated before interception.</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This is, at highest, a minor error in one field of the e-way bill, curable in nature; under Circular No. 64/38/2018-GST dated 14 September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read with Sections 125 and 126, the consequence cannot exceed a general penalty of Rs. 25,000 (or Rs. 1,000 for a minor error), and Section 129 is not attracted. </w:t>
      </w:r>
      <w:r>
        <w:rPr>
          <w:rFonts w:ascii="Times New Roman" w:cs="Times New Roman" w:eastAsia="Times New Roman" w:hAnsi="Times New Roman"/>
          <w:i/>
          <w:iCs/>
          <w:sz w:val="24"/>
          <w:szCs w:val="24"/>
        </w:rPr>
        <w:t xml:space="preserve">It is fairly noted that, in Millennium Impex, a penalty was sustained where Part B was wholly unfilled and the order recorded an unrebutted intent to evade; here Part A and the documents were complete, the goods are identified by the chassis number, the tax was paid, and there is no material of intent.</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proposed penalty under Section 129 be dropped, the non-updating of Part B on the change of conveyance being a curable procedural lapse without any intent to evade tax; in the alternative, that the consequence be confined to a general penalty under Section 125; that the goods / conveyance be released;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2026-06-13T08:13:12.115Z</dcterms:created>
  <dcterms:modified xsi:type="dcterms:W3CDTF">2026-06-13T08:13:12.115Z</dcterms:modified>
</cp:coreProperties>
</file>

<file path=docProps/custom.xml><?xml version="1.0" encoding="utf-8"?>
<Properties xmlns="http://schemas.openxmlformats.org/officeDocument/2006/custom-properties" xmlns:vt="http://schemas.openxmlformats.org/officeDocument/2006/docPropsVTypes"/>
</file>