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Times New Roman" w:cs="Times New Roman" w:eastAsia="Times New Roman" w:hAnsi="Times New Roman"/>
          <w:b/>
          <w:bCs/>
          <w:sz w:val="24"/>
          <w:szCs w:val="24"/>
        </w:rPr>
        <w:t xml:space="preserve">To,</w:t>
      </w:r>
    </w:p>
    <w:p>
      <w:pPr>
        <w:spacing w:after="60"/>
        <w:jc w:val="left"/>
      </w:pPr>
      <w:r>
        <w:rPr>
          <w:rFonts w:ascii="Times New Roman" w:cs="Times New Roman" w:eastAsia="Times New Roman" w:hAnsi="Times New Roman"/>
          <w:sz w:val="24"/>
          <w:szCs w:val="24"/>
        </w:rPr>
        <w:t xml:space="preserve">The Proper Officer (State Tax) / </w:t>
      </w:r>
      <w:r>
        <w:rPr>
          <w:rFonts w:ascii="Times New Roman" w:cs="Times New Roman" w:eastAsia="Times New Roman" w:hAnsi="Times New Roman"/>
          <w:b/>
          <w:bCs/>
          <w:sz w:val="24"/>
          <w:szCs w:val="24"/>
        </w:rPr>
        <w:t xml:space="preserve">[Designation]</w:t>
      </w:r>
    </w:p>
    <w:p>
      <w:pPr>
        <w:spacing w:after="60"/>
        <w:jc w:val="left"/>
      </w:pPr>
      <w:r>
        <w:rPr>
          <w:rFonts w:ascii="Times New Roman" w:cs="Times New Roman" w:eastAsia="Times New Roman" w:hAnsi="Times New Roman"/>
          <w:b/>
          <w:bCs/>
          <w:sz w:val="24"/>
          <w:szCs w:val="24"/>
        </w:rPr>
        <w:t xml:space="preserve">[Ward / Circle / Jurisdiction]</w:t>
      </w:r>
    </w:p>
    <w:p>
      <w:pPr>
        <w:spacing w:after="60"/>
        <w:jc w:val="left"/>
      </w:pPr>
      <w:r>
        <w:rPr>
          <w:rFonts w:ascii="Times New Roman" w:cs="Times New Roman" w:eastAsia="Times New Roman" w:hAnsi="Times New Roman"/>
          <w:b/>
          <w:bCs/>
          <w:sz w:val="24"/>
          <w:szCs w:val="24"/>
        </w:rPr>
        <w:t xml:space="preserve">[Office Address]</w:t>
      </w:r>
    </w:p>
    <w:p>
      <w:pPr>
        <w:spacing w:after="120"/>
      </w:pPr>
    </w:p>
    <w:p>
      <w:pPr>
        <w:spacing w:after="160" w:line="276"/>
        <w:jc w:val="both"/>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to the show cause notice under Section 130 founded on excess stock allegedly found on survey — excess stock being a matter for determination under Sections 73/74 read with Section 35(6), and not for confiscation under Section 130, which requires an intent to evade established by evidence.</w:t>
      </w:r>
    </w:p>
    <w:p>
      <w:pPr>
        <w:spacing w:after="160" w:line="276"/>
        <w:jc w:val="both"/>
      </w:pPr>
      <w:r>
        <w:rPr>
          <w:rFonts w:ascii="Times New Roman" w:cs="Times New Roman" w:eastAsia="Times New Roman" w:hAnsi="Times New Roman"/>
          <w:i/>
          <w:iCs/>
          <w:sz w:val="24"/>
          <w:szCs w:val="24"/>
        </w:rPr>
        <w:t xml:space="preserve">Drafting note (to be removed before filing): </w:t>
      </w:r>
      <w:r>
        <w:rPr>
          <w:rFonts w:ascii="Times New Roman" w:cs="Times New Roman" w:eastAsia="Times New Roman" w:hAnsi="Times New Roman"/>
          <w:i/>
          <w:iCs/>
          <w:sz w:val="24"/>
          <w:szCs w:val="24"/>
        </w:rPr>
        <w:t xml:space="preserve">Place of execution Mumbai; addressee jurisdiction to be reconciled. The stock-taking method (whether actual weighment/counting or mere eye-estimation) and the existence/absence of a Panchnama are decisive — bring these out from the record. Enclose the stock records, purchase/production data and the survey papers.</w:t>
      </w:r>
    </w:p>
    <w:p>
      <w:pPr>
        <w:pStyle w:val="Heading1"/>
        <w:spacing w:after="140" w:before="280"/>
      </w:pPr>
      <w:r>
        <w:rPr>
          <w:rFonts w:ascii="Times New Roman" w:cs="Times New Roman" w:eastAsia="Times New Roman" w:hAnsi="Times New Roman"/>
          <w:b/>
          <w:bCs/>
          <w:sz w:val="26"/>
          <w:szCs w:val="26"/>
        </w:rPr>
        <w:t xml:space="preserve">SYNOPSIS</w:t>
      </w:r>
    </w:p>
    <w:p>
      <w:pPr>
        <w:spacing w:after="160" w:line="276"/>
        <w:jc w:val="both"/>
      </w:pPr>
      <w:r>
        <w:rPr>
          <w:rFonts w:ascii="Times New Roman" w:cs="Times New Roman" w:eastAsia="Times New Roman" w:hAnsi="Times New Roman"/>
          <w:sz w:val="24"/>
          <w:szCs w:val="24"/>
        </w:rPr>
        <w:t xml:space="preserve">The notice alleges that, on a survey of the premises, the physical stock exceeded the stock as per the books, and proposes confiscation and penalty under Section 130 with interest under Section 50. The proposal is misconceived in law. A discrepancy of stock in the premises — even if correctly found — is to be dealt with by determination of tax under Sections 73/74 read with Section 35(6), not by confiscation under Section 130. Section 130 requires an intent to evade tax established by evidence, not by suspicion or visual estimate; no such intent is alleged with material here. The stock was, in any event, correctly recorded, as the documents show.</w:t>
      </w:r>
    </w:p>
    <w:p>
      <w:pPr>
        <w:pStyle w:val="Heading1"/>
        <w:spacing w:after="140" w:before="280"/>
      </w:pPr>
      <w:r>
        <w:rPr>
          <w:rFonts w:ascii="Times New Roman" w:cs="Times New Roman" w:eastAsia="Times New Roman" w:hAnsi="Times New Roman"/>
          <w:b/>
          <w:bCs/>
          <w:sz w:val="26"/>
          <w:szCs w:val="26"/>
        </w:rPr>
        <w:t xml:space="preserve">FACTUAL BACKGROUND</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On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officers surveyed the premises and recorded the stock as per books at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and the physical stock at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treating the difference as ‘excess stock’ of Rs.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The physical quantity was arrived at by </w:t>
      </w:r>
      <w:r>
        <w:rPr>
          <w:rFonts w:ascii="Times New Roman" w:cs="Times New Roman" w:eastAsia="Times New Roman" w:hAnsi="Times New Roman"/>
          <w:b/>
          <w:bCs/>
          <w:sz w:val="24"/>
          <w:szCs w:val="24"/>
        </w:rPr>
        <w:t xml:space="preserve">[eye-estimation / actual weighment — specify]</w:t>
      </w:r>
      <w:r>
        <w:rPr>
          <w:rFonts w:ascii="Times New Roman" w:cs="Times New Roman" w:eastAsia="Times New Roman" w:hAnsi="Times New Roman"/>
          <w:sz w:val="24"/>
          <w:szCs w:val="24"/>
        </w:rPr>
        <w:t xml:space="preserve">.</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On that basis the notice proposes confiscation and penalty under Section 130 (Rs.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with interest. No material evidencing an intent to evade tax accompanies the notice.</w:t>
      </w:r>
    </w:p>
    <w:p>
      <w:pPr>
        <w:pStyle w:val="Heading1"/>
        <w:spacing w:after="140" w:before="280"/>
      </w:pPr>
      <w:r>
        <w:rPr>
          <w:rFonts w:ascii="Times New Roman" w:cs="Times New Roman" w:eastAsia="Times New Roman" w:hAnsi="Times New Roman"/>
          <w:b/>
          <w:bCs/>
          <w:sz w:val="26"/>
          <w:szCs w:val="26"/>
        </w:rPr>
        <w:t xml:space="preserve">SUBMISSIONS</w:t>
      </w:r>
    </w:p>
    <w:p>
      <w:pPr>
        <w:spacing w:after="140" w:line="276"/>
        <w:ind w:left="720"/>
        <w:jc w:val="both"/>
      </w:pPr>
      <w:r>
        <w:rPr>
          <w:rFonts w:ascii="Times New Roman" w:cs="Times New Roman" w:eastAsia="Times New Roman" w:hAnsi="Times New Roman"/>
          <w:b/>
          <w:bCs/>
          <w:i/>
          <w:iCs/>
          <w:sz w:val="24"/>
          <w:szCs w:val="24"/>
        </w:rPr>
        <w:t xml:space="preserve">(a) Excess stock is a Section 73/74 matter, not a Section 130 matter. </w:t>
      </w:r>
      <w:r>
        <w:rPr>
          <w:rFonts w:ascii="Times New Roman" w:cs="Times New Roman" w:eastAsia="Times New Roman" w:hAnsi="Times New Roman"/>
          <w:sz w:val="24"/>
          <w:szCs w:val="24"/>
        </w:rPr>
        <w:t xml:space="preserve">Where excess stock is found in the premises, the liability, if any, is to be determined under Sections 73/74 read with Section 35(6) (which deems unaccounted goods to attract tax as if supplied), and not by recourse to Section 130. This is settled by the Allahabad High Court in </w:t>
      </w:r>
      <w:r>
        <w:rPr>
          <w:rFonts w:ascii="Times New Roman" w:cs="Times New Roman" w:eastAsia="Times New Roman" w:hAnsi="Times New Roman"/>
          <w:i/>
          <w:iCs/>
          <w:sz w:val="24"/>
          <w:szCs w:val="24"/>
        </w:rPr>
        <w:t xml:space="preserve">Vijay Trading Company v. Additional Commissioner Grade-2</w:t>
      </w:r>
      <w:r>
        <w:rPr>
          <w:rFonts w:ascii="Times New Roman" w:cs="Times New Roman" w:eastAsia="Times New Roman" w:hAnsi="Times New Roman"/>
          <w:sz w:val="24"/>
          <w:szCs w:val="24"/>
        </w:rPr>
        <w:t xml:space="preserve">, Writ Tax No. 1278 of 2024, dated 20 August 2024</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the special leave petition against which was dismissed by the Supreme Court on 4 April 2025 (reported (2025) 30 Centax 214 (SC))</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giving the proposition apex finality. The same view runs through </w:t>
      </w:r>
      <w:r>
        <w:rPr>
          <w:rFonts w:ascii="Times New Roman" w:cs="Times New Roman" w:eastAsia="Times New Roman" w:hAnsi="Times New Roman"/>
          <w:i/>
          <w:iCs/>
          <w:sz w:val="24"/>
          <w:szCs w:val="24"/>
        </w:rPr>
        <w:t xml:space="preserve">Maa Mahamaya Alloys Pvt Ltd v. State of U.P.</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Dinesh Kumar Pradeep Kumar v. Additional Commissioner Grade-2</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PP Polyplast</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w:t>
      </w:r>
    </w:p>
    <w:p>
      <w:pPr>
        <w:spacing w:after="140" w:line="276"/>
        <w:ind w:left="720"/>
        <w:jc w:val="both"/>
      </w:pPr>
      <w:r>
        <w:rPr>
          <w:rFonts w:ascii="Times New Roman" w:cs="Times New Roman" w:eastAsia="Times New Roman" w:hAnsi="Times New Roman"/>
          <w:b/>
          <w:bCs/>
          <w:i/>
          <w:iCs/>
          <w:sz w:val="24"/>
          <w:szCs w:val="24"/>
        </w:rPr>
        <w:t xml:space="preserve">(b) Section 130 requires intent to evade, proved by evidence. </w:t>
      </w:r>
      <w:r>
        <w:rPr>
          <w:rFonts w:ascii="Times New Roman" w:cs="Times New Roman" w:eastAsia="Times New Roman" w:hAnsi="Times New Roman"/>
          <w:sz w:val="24"/>
          <w:szCs w:val="24"/>
        </w:rPr>
        <w:t xml:space="preserve">Confiscation under Section 130 is attracted only on an intent to evade tax, established by evidence and not by mere suspicion. The notice records no such evidence. The Supreme Court’s line (and </w:t>
      </w:r>
      <w:r>
        <w:rPr>
          <w:rFonts w:ascii="Times New Roman" w:cs="Times New Roman" w:eastAsia="Times New Roman" w:hAnsi="Times New Roman"/>
          <w:i/>
          <w:iCs/>
          <w:sz w:val="24"/>
          <w:szCs w:val="24"/>
        </w:rPr>
        <w:t xml:space="preserve">Synergy Fertichem</w:t>
      </w:r>
      <w:r>
        <w:rPr>
          <w:rFonts w:ascii="Times New Roman" w:cs="Times New Roman" w:eastAsia="Times New Roman" w:hAnsi="Times New Roman"/>
          <w:sz w:val="24"/>
          <w:szCs w:val="24"/>
        </w:rPr>
        <w:t xml:space="preserve">) confirms that Sections 129 and 130 are not to be invoked mechanically, and that a definite, evidenced intent is a precondition to confiscation.</w:t>
      </w:r>
    </w:p>
    <w:p>
      <w:pPr>
        <w:spacing w:after="140" w:line="276"/>
        <w:ind w:left="720"/>
        <w:jc w:val="both"/>
      </w:pPr>
      <w:r>
        <w:rPr>
          <w:rFonts w:ascii="Times New Roman" w:cs="Times New Roman" w:eastAsia="Times New Roman" w:hAnsi="Times New Roman"/>
          <w:b/>
          <w:bCs/>
          <w:i/>
          <w:iCs/>
          <w:sz w:val="24"/>
          <w:szCs w:val="24"/>
        </w:rPr>
        <w:t xml:space="preserve">(c) Eye-estimation is not a lawful basis. </w:t>
      </w:r>
      <w:r>
        <w:rPr>
          <w:rFonts w:ascii="Times New Roman" w:cs="Times New Roman" w:eastAsia="Times New Roman" w:hAnsi="Times New Roman"/>
          <w:sz w:val="24"/>
          <w:szCs w:val="24"/>
        </w:rPr>
        <w:t xml:space="preserve">Where the alleged excess rests on a visual or eye-estimate rather than actual weighment or counting, and where no Panchnama records the method, the very foundation of the demand is unreliable. The 2025 authority — setting aside Section 130 orders for want of actual weighment or a Panchnama — applies directly (for example, the Allahabad High Court in Writ Tax No. 3812 of 2025</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w:t>
      </w:r>
    </w:p>
    <w:p>
      <w:pPr>
        <w:spacing w:after="140" w:line="276"/>
        <w:ind w:left="720"/>
        <w:jc w:val="both"/>
      </w:pPr>
      <w:r>
        <w:rPr>
          <w:rFonts w:ascii="Times New Roman" w:cs="Times New Roman" w:eastAsia="Times New Roman" w:hAnsi="Times New Roman"/>
          <w:b/>
          <w:bCs/>
          <w:i/>
          <w:iCs/>
          <w:sz w:val="24"/>
          <w:szCs w:val="24"/>
        </w:rPr>
        <w:t xml:space="preserve">(d) Section 122 does not save the notice. </w:t>
      </w:r>
      <w:r>
        <w:rPr>
          <w:rFonts w:ascii="Times New Roman" w:cs="Times New Roman" w:eastAsia="Times New Roman" w:hAnsi="Times New Roman"/>
          <w:sz w:val="24"/>
          <w:szCs w:val="24"/>
        </w:rPr>
        <w:t xml:space="preserve">The reference to penalty ‘under Section 122’ in Section 130 does not convert an excess-stock allegation into a confiscation case; the gateway to Section 130 (evidenced intent to evade) being absent, neither confiscation nor the Section 122 penalty riding on it survives.</w:t>
      </w:r>
    </w:p>
    <w:p>
      <w:pPr>
        <w:pStyle w:val="Heading1"/>
        <w:spacing w:after="140" w:before="280"/>
      </w:pPr>
      <w:r>
        <w:rPr>
          <w:rFonts w:ascii="Times New Roman" w:cs="Times New Roman" w:eastAsia="Times New Roman" w:hAnsi="Times New Roman"/>
          <w:b/>
          <w:bCs/>
          <w:sz w:val="26"/>
          <w:szCs w:val="26"/>
        </w:rPr>
        <w:t xml:space="preserve">PRAYER</w:t>
      </w:r>
    </w:p>
    <w:p>
      <w:pPr>
        <w:spacing w:after="160" w:line="276"/>
        <w:jc w:val="both"/>
      </w:pPr>
      <w:r>
        <w:rPr>
          <w:rFonts w:ascii="Times New Roman" w:cs="Times New Roman" w:eastAsia="Times New Roman" w:hAnsi="Times New Roman"/>
          <w:sz w:val="24"/>
          <w:szCs w:val="24"/>
        </w:rPr>
        <w:t xml:space="preserve">It is prayed that the notice under Section 130 be dropped, excess stock being a matter for Sections 73/74 read with Section 35(6) and not for confiscation, and no intent to evade being evidenced; that the stock in any event having been correctly recorded; and that a personal hearing be granted before any adverse order.</w:t>
      </w:r>
    </w:p>
    <w:p>
      <w:pPr>
        <w:spacing w:after="60" w:before="240"/>
      </w:pPr>
      <w:r>
        <w:rPr>
          <w:rFonts w:ascii="Times New Roman" w:cs="Times New Roman" w:eastAsia="Times New Roman" w:hAnsi="Times New Roman"/>
          <w:sz w:val="24"/>
          <w:szCs w:val="24"/>
        </w:rPr>
        <w:t xml:space="preserve">Yours faithfully,</w:t>
      </w:r>
    </w:p>
    <w:p>
      <w:r>
        <w:rPr>
          <w:rFonts w:ascii="Times New Roman" w:cs="Times New Roman" w:eastAsia="Times New Roman" w:hAnsi="Times New Roman"/>
          <w:sz w:val="24"/>
          <w:szCs w:val="24"/>
        </w:rPr>
        <w:t xml:space="preserve">For and on behalf of</w:t>
      </w:r>
    </w:p>
    <w:p>
      <w:r>
        <w:rPr>
          <w:rFonts w:ascii="Times New Roman" w:cs="Times New Roman" w:eastAsia="Times New Roman" w:hAnsi="Times New Roman"/>
          <w:b/>
          <w:bCs/>
          <w:sz w:val="24"/>
          <w:szCs w:val="24"/>
        </w:rPr>
        <w:t xml:space="preserve">M/s Noticedesk Technologies Private Limited</w:t>
      </w:r>
    </w:p>
    <w:p>
      <w:pPr>
        <w:spacing w:before="200"/>
      </w:pPr>
      <w:r>
        <w:rPr>
          <w:rFonts w:ascii="Times New Roman" w:cs="Times New Roman" w:eastAsia="Times New Roman" w:hAnsi="Times New Roman"/>
          <w:sz w:val="24"/>
          <w:szCs w:val="24"/>
        </w:rPr>
        <w:t xml:space="preserve">_______________________________</w:t>
      </w:r>
    </w:p>
    <w:p>
      <w:r>
        <w:rPr>
          <w:rFonts w:ascii="Times New Roman" w:cs="Times New Roman" w:eastAsia="Times New Roman" w:hAnsi="Times New Roman"/>
          <w:b/>
          <w:bCs/>
          <w:sz w:val="24"/>
          <w:szCs w:val="24"/>
        </w:rPr>
        <w:t xml:space="preserve">Authorised Signatory / Director</w:t>
      </w:r>
    </w:p>
    <w:p>
      <w:pPr>
        <w:spacing w:before="120"/>
      </w:pPr>
      <w:r>
        <w:rPr>
          <w:rFonts w:ascii="Times New Roman" w:cs="Times New Roman" w:eastAsia="Times New Roman" w:hAnsi="Times New Roman"/>
          <w:sz w:val="24"/>
          <w:szCs w:val="24"/>
        </w:rPr>
        <w:t xml:space="preserve">Place: Mumbai</w:t>
      </w:r>
    </w:p>
    <w:p>
      <w:r>
        <w:rPr>
          <w:rFonts w:ascii="Times New Roman" w:cs="Times New Roman" w:eastAsia="Times New Roman" w:hAnsi="Times New Roman"/>
          <w:sz w:val="24"/>
          <w:szCs w:val="24"/>
        </w:rPr>
        <w:t xml:space="preserve">Date: [____]</w:t>
      </w:r>
    </w:p>
    <w:p>
      <w:pPr>
        <w:spacing w:before="120"/>
      </w:pPr>
      <w:r>
        <w:rPr>
          <w:rFonts w:ascii="Times New Roman" w:cs="Times New Roman" w:eastAsia="Times New Roman" w:hAnsi="Times New Roman"/>
          <w:i/>
          <w:iCs/>
          <w:sz w:val="24"/>
          <w:szCs w:val="24"/>
        </w:rPr>
        <w:t xml:space="preserve">Filed through [____], Authorised Representative.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720"/>
      </w:pPr>
      <w:rPr>
        <w:b/>
        <w:bCs/>
      </w:rPr>
    </w:lvl>
  </w:abstractNum>
  <w:abstractNum w:abstractNumId="4" w15:restartNumberingAfterBreak="0">
    <w:multiLevelType w:val="hybridMultilevel"/>
    <w:lvl w:ilvl="0" w15:tentative="1">
      <w:start w:val="1"/>
      <w:numFmt w:val="decimal"/>
      <w:lvlText w:val="%1."/>
      <w:lvlJc w:val="left"/>
      <w:pPr>
        <w:ind w:left="720" w:hanging="720"/>
      </w:pPr>
      <w:rPr>
        <w:b/>
        <w:bCs/>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2026-06-13T08:13:12.400Z</dcterms:created>
  <dcterms:modified xsi:type="dcterms:W3CDTF">2026-06-13T08:13:12.400Z</dcterms:modified>
</cp:coreProperties>
</file>

<file path=docProps/custom.xml><?xml version="1.0" encoding="utf-8"?>
<Properties xmlns="http://schemas.openxmlformats.org/officeDocument/2006/custom-properties" xmlns:vt="http://schemas.openxmlformats.org/officeDocument/2006/docPropsVTypes"/>
</file>