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Times New Roman" w:hAnsi="Times New Roman"/>
          <w:b w:val="0"/>
          <w:i w:val="0"/>
          <w:sz w:val="24"/>
        </w:rPr>
        <w:t>To,</w:t>
      </w:r>
    </w:p>
    <w:p>
      <w:pPr>
        <w:jc w:val="left"/>
      </w:pPr>
      <w:r>
        <w:rPr>
          <w:rFonts w:ascii="Times New Roman" w:hAnsi="Times New Roman"/>
          <w:b w:val="0"/>
          <w:i w:val="0"/>
          <w:sz w:val="24"/>
        </w:rPr>
        <w:t>The Proper Officer (State Tax) / [Designation]</w:t>
      </w:r>
    </w:p>
    <w:p>
      <w:pPr>
        <w:jc w:val="left"/>
      </w:pPr>
      <w:r>
        <w:rPr>
          <w:rFonts w:ascii="Times New Roman" w:hAnsi="Times New Roman"/>
          <w:b w:val="0"/>
          <w:i w:val="0"/>
          <w:sz w:val="24"/>
        </w:rPr>
        <w:t>[Ward / Circle / Jurisdiction]</w:t>
      </w:r>
    </w:p>
    <w:p>
      <w:pPr>
        <w:jc w:val="left"/>
      </w:pPr>
      <w:r>
        <w:rPr>
          <w:rFonts w:ascii="Times New Roman" w:hAnsi="Times New Roman"/>
          <w:b w:val="0"/>
          <w:i w:val="0"/>
          <w:sz w:val="24"/>
        </w:rPr>
        <w:t>[Office Address]</w:t>
      </w:r>
    </w:p>
    <w:p>
      <w:pPr>
        <w:jc w:val="left"/>
      </w:pPr>
      <w:r>
        <w:rPr>
          <w:rFonts w:ascii="Times New Roman" w:hAnsi="Times New Roman"/>
          <w:b w:val="0"/>
          <w:i w:val="0"/>
          <w:sz w:val="24"/>
        </w:rPr>
      </w:r>
    </w:p>
    <w:p>
      <w:pPr>
        <w:jc w:val="left"/>
      </w:pPr>
      <w:r>
        <w:rPr>
          <w:rFonts w:ascii="Times New Roman" w:hAnsi="Times New Roman"/>
          <w:b w:val="0"/>
          <w:i w:val="0"/>
          <w:sz w:val="24"/>
        </w:rPr>
        <w:t>Subject: Reply to notice under Section 129 for detention of goods and conveyance on the ground of an expired e-way bill occasioned by vehicle breakdown en route</w:t>
      </w:r>
    </w:p>
    <w:p>
      <w:pPr>
        <w:jc w:val="left"/>
      </w:pPr>
      <w:r>
        <w:rPr>
          <w:rFonts w:ascii="Times New Roman" w:hAnsi="Times New Roman"/>
          <w:b w:val="0"/>
          <w:i/>
          <w:sz w:val="24"/>
        </w:rPr>
        <w:t>Drafting note (to be removed before filing): Place of execution Mumbai; annex the FIR/garage receipt or toll-plaza timestamp evidencing the breakdown, and the extended e-way bill (Part B) generated on resumption of movement, before filing.</w:t>
      </w:r>
    </w:p>
    <w:p>
      <w:pPr>
        <w:jc w:val="left"/>
      </w:pPr>
      <w:r>
        <w:rPr>
          <w:rFonts w:ascii="Times New Roman" w:hAnsi="Times New Roman"/>
          <w:b/>
          <w:i w:val="0"/>
          <w:sz w:val="24"/>
        </w:rPr>
        <w:t>SYNOPSIS</w:t>
      </w:r>
    </w:p>
    <w:p>
      <w:pPr>
        <w:jc w:val="both"/>
      </w:pPr>
      <w:r>
        <w:rPr>
          <w:rFonts w:ascii="Times New Roman" w:hAnsi="Times New Roman"/>
          <w:b w:val="0"/>
          <w:i w:val="0"/>
          <w:sz w:val="24"/>
        </w:rPr>
        <w:t>The e-way bill accompanying the consignment expired while the vehicle was under breakdown at a location en route, for reasons entirely beyond the control of the consignor, consignee or transporter; there is no allegation, much less finding, of any intent to evade tax.</w:t>
      </w:r>
    </w:p>
    <w:p>
      <w:pPr>
        <w:jc w:val="left"/>
      </w:pPr>
      <w:r>
        <w:rPr>
          <w:rFonts w:ascii="Times New Roman" w:hAnsi="Times New Roman"/>
          <w:b/>
          <w:i w:val="0"/>
          <w:sz w:val="24"/>
        </w:rPr>
        <w:t>FACTUAL BACKGROUND</w:t>
      </w:r>
    </w:p>
    <w:p>
      <w:pPr>
        <w:jc w:val="both"/>
      </w:pPr>
      <w:r>
        <w:rPr>
          <w:rFonts w:ascii="Times New Roman" w:hAnsi="Times New Roman"/>
          <w:b w:val="0"/>
          <w:i w:val="0"/>
          <w:sz w:val="24"/>
        </w:rPr>
        <w:t>The consignment commenced movement under a valid e-way bill and tax invoice, with the vehicle number correctly reflected in Part B of the e-way bill.</w:t>
      </w:r>
    </w:p>
    <w:p>
      <w:pPr>
        <w:jc w:val="both"/>
      </w:pPr>
      <w:r>
        <w:rPr>
          <w:rFonts w:ascii="Times New Roman" w:hAnsi="Times New Roman"/>
          <w:b w:val="0"/>
          <w:i w:val="0"/>
          <w:sz w:val="24"/>
        </w:rPr>
        <w:t>The vehicle suffered a mechanical breakdown en route, evidenced by a garage repair receipt / roadside-assistance record, on account of which the validity period of the e-way bill lapsed before the consignment could reach its destination.</w:t>
      </w:r>
    </w:p>
    <w:p>
      <w:pPr>
        <w:jc w:val="both"/>
      </w:pPr>
      <w:r>
        <w:rPr>
          <w:rFonts w:ascii="Times New Roman" w:hAnsi="Times New Roman"/>
          <w:b w:val="0"/>
          <w:i w:val="0"/>
          <w:sz w:val="24"/>
        </w:rPr>
        <w:t>On resumption of movement, the driver/transporter attempted to extend the e-way bill; before such extension could be effected, the conveyance was intercepted and detained under Section 129, the sole discrepancy alleged being the expired validity.</w:t>
      </w:r>
    </w:p>
    <w:p>
      <w:pPr>
        <w:jc w:val="left"/>
      </w:pPr>
      <w:r>
        <w:rPr>
          <w:rFonts w:ascii="Times New Roman" w:hAnsi="Times New Roman"/>
          <w:b/>
          <w:i w:val="0"/>
          <w:sz w:val="24"/>
        </w:rPr>
        <w:t>SUBMISSIONS</w:t>
      </w:r>
    </w:p>
    <w:p>
      <w:pPr>
        <w:ind w:left="360"/>
        <w:jc w:val="both"/>
      </w:pPr>
      <w:r>
        <w:rPr>
          <w:rFonts w:ascii="Times New Roman" w:hAnsi="Times New Roman"/>
          <w:b w:val="0"/>
          <w:i w:val="0"/>
          <w:sz w:val="24"/>
        </w:rPr>
        <w:t>1. Circular No. 64/38/2018-GST recognises that where a conveyance carrying goods along with an invoice or other specified document, but not an e-way bill (or with a minor discrepancy such as expiry during transit for a bona fide reason), is intercepted, the proper officer may consider the same as a minor breach and levy a nominal penalty under Section 122(1)(xiv) rather than invoke the full rigour of Section 129.</w:t>
      </w:r>
    </w:p>
    <w:p>
      <w:pPr>
        <w:ind w:left="360"/>
        <w:jc w:val="both"/>
      </w:pPr>
      <w:r>
        <w:rPr>
          <w:rFonts w:ascii="Times New Roman" w:hAnsi="Times New Roman"/>
          <w:b w:val="0"/>
          <w:i w:val="0"/>
          <w:sz w:val="24"/>
        </w:rPr>
        <w:t>2. An expired e-way bill occasioned by circumstances such as vehicle breakdown, traffic block or natural calamity, without any discrepancy in the description, quantity or value of goods vis-à-vis the invoice, is a technical or venial breach and does not by itself establish an intent to evade tax, which is the gravamen of Section 129 read with the scheme of Chapter XIX.</w:t>
      </w:r>
    </w:p>
    <w:p>
      <w:pPr>
        <w:ind w:left="360"/>
        <w:jc w:val="both"/>
      </w:pPr>
      <w:r>
        <w:rPr>
          <w:rFonts w:ascii="Times New Roman" w:hAnsi="Times New Roman"/>
          <w:b w:val="0"/>
          <w:i w:val="0"/>
          <w:sz w:val="24"/>
        </w:rPr>
        <w:t>3. All other particulars — invoice, quantity, description, destination and vehicle number — being consistent and undisputed, the detention is disproportionate; at the highest, the matter falls within the minor-breach category contemplated by the Circular.</w:t>
      </w:r>
    </w:p>
    <w:p>
      <w:pPr>
        <w:jc w:val="left"/>
      </w:pPr>
      <w:r>
        <w:rPr>
          <w:rFonts w:ascii="Times New Roman" w:hAnsi="Times New Roman"/>
          <w:b/>
          <w:i w:val="0"/>
          <w:sz w:val="24"/>
        </w:rPr>
        <w:t>PRAYER</w:t>
      </w:r>
    </w:p>
    <w:p>
      <w:pPr>
        <w:jc w:val="both"/>
      </w:pPr>
      <w:r>
        <w:rPr>
          <w:rFonts w:ascii="Times New Roman" w:hAnsi="Times New Roman"/>
          <w:b w:val="0"/>
          <w:i w:val="0"/>
          <w:sz w:val="24"/>
        </w:rPr>
        <w:t>It is prayed that the goods and conveyance be released forthwith without insistence on the tax and penalty demanded under Section 129, or in the alternative that only the nominal penalty contemplated for a minor breach under Section 122(1)(xiv) read with the Circular be levied.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For and on behalf of</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Authorised Signatory / Director</w:t>
      </w:r>
    </w:p>
    <w:p>
      <w:pPr>
        <w:jc w:val="left"/>
      </w:pPr>
      <w:r>
        <w:rPr>
          <w:rFonts w:ascii="Times New Roman" w:hAnsi="Times New Roman"/>
          <w:b w:val="0"/>
          <w:i w:val="0"/>
          <w:sz w:val="24"/>
        </w:rPr>
        <w:t>Place: Mumbai</w:t>
      </w:r>
    </w:p>
    <w:p>
      <w:pPr>
        <w:jc w:val="left"/>
      </w:pPr>
      <w:r>
        <w:rPr>
          <w:rFonts w:ascii="Times New Roman" w:hAnsi="Times New Roman"/>
          <w:b w:val="0"/>
          <w:i w:val="0"/>
          <w:sz w:val="24"/>
        </w:rPr>
        <w:t>Date: [____]</w:t>
      </w:r>
    </w:p>
    <w:p>
      <w:pPr>
        <w:jc w:val="left"/>
      </w:pPr>
      <w:r>
        <w:rPr>
          <w:rFonts w:ascii="Times New Roman" w:hAnsi="Times New Roman"/>
          <w:b w:val="0"/>
          <w:i w:val="0"/>
          <w:sz w:val="24"/>
        </w:rPr>
        <w:t>Filed through [____], Authorised Representative.</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