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Times New Roman" w:cs="Times New Roman" w:eastAsia="Times New Roman" w:hAnsi="Times New Roman"/>
          <w:b/>
          <w:bCs/>
          <w:sz w:val="24"/>
          <w:szCs w:val="24"/>
        </w:rPr>
        <w:t xml:space="preserve">To,</w:t>
      </w:r>
    </w:p>
    <w:p>
      <w:pPr>
        <w:spacing w:after="60"/>
        <w:jc w:val="left"/>
      </w:pPr>
      <w:r>
        <w:rPr>
          <w:rFonts w:ascii="Times New Roman" w:cs="Times New Roman" w:eastAsia="Times New Roman" w:hAnsi="Times New Roman"/>
          <w:sz w:val="24"/>
          <w:szCs w:val="24"/>
        </w:rPr>
        <w:t xml:space="preserve">The Proper Officer (State Tax) / </w:t>
      </w:r>
      <w:r>
        <w:rPr>
          <w:rFonts w:ascii="Times New Roman" w:cs="Times New Roman" w:eastAsia="Times New Roman" w:hAnsi="Times New Roman"/>
          <w:b/>
          <w:bCs/>
          <w:sz w:val="24"/>
          <w:szCs w:val="24"/>
        </w:rPr>
        <w:t xml:space="preserve">[Designation]</w:t>
      </w:r>
    </w:p>
    <w:p>
      <w:pPr>
        <w:spacing w:after="60"/>
        <w:jc w:val="left"/>
      </w:pPr>
      <w:r>
        <w:rPr>
          <w:rFonts w:ascii="Times New Roman" w:cs="Times New Roman" w:eastAsia="Times New Roman" w:hAnsi="Times New Roman"/>
          <w:b/>
          <w:bCs/>
          <w:sz w:val="24"/>
          <w:szCs w:val="24"/>
        </w:rPr>
        <w:t xml:space="preserve">[Ward / Circle / Jurisdiction]</w:t>
      </w:r>
    </w:p>
    <w:p>
      <w:pPr>
        <w:spacing w:after="60"/>
        <w:jc w:val="left"/>
      </w:pPr>
      <w:r>
        <w:rPr>
          <w:rFonts w:ascii="Times New Roman" w:cs="Times New Roman" w:eastAsia="Times New Roman" w:hAnsi="Times New Roman"/>
          <w:b/>
          <w:bCs/>
          <w:sz w:val="24"/>
          <w:szCs w:val="24"/>
        </w:rPr>
        <w:t xml:space="preserve">[Office Address]</w:t>
      </w:r>
    </w:p>
    <w:p>
      <w:pPr>
        <w:spacing w:after="120"/>
      </w:pPr>
    </w:p>
    <w:p>
      <w:pPr>
        <w:spacing w:after="160" w:line="276"/>
        <w:jc w:val="both"/>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Objection to the intimation that an appeal against a penalty-only order is not maintainable — Section 107 permitting an appeal against any order or any part of an order, including the penalty, the tax having been paid.</w:t>
      </w:r>
    </w:p>
    <w:p>
      <w:pPr>
        <w:spacing w:after="160" w:line="276"/>
        <w:jc w:val="both"/>
      </w:pPr>
      <w:r>
        <w:rPr>
          <w:rFonts w:ascii="Times New Roman" w:cs="Times New Roman" w:eastAsia="Times New Roman" w:hAnsi="Times New Roman"/>
          <w:i/>
          <w:iCs/>
          <w:sz w:val="24"/>
          <w:szCs w:val="24"/>
        </w:rPr>
        <w:t xml:space="preserve">Drafting note (to be removed before filing): </w:t>
      </w:r>
      <w:r>
        <w:rPr>
          <w:rFonts w:ascii="Times New Roman" w:cs="Times New Roman" w:eastAsia="Times New Roman" w:hAnsi="Times New Roman"/>
          <w:i/>
          <w:iCs/>
          <w:sz w:val="24"/>
          <w:szCs w:val="24"/>
        </w:rPr>
        <w:t xml:space="preserve">To be used as a reply/objection to an intimation rejecting a penalty-only appeal. Party: M/s Noticedesk Technologies Private Limited; place of execution Mumbai. Pre-deposit: NIL for penalty-only appeals filed before 1 October 2025; 10% of the penalty for those filed on or after that date (Finance Act 2025) — state which applies.</w:t>
      </w:r>
    </w:p>
    <w:p>
      <w:pPr>
        <w:pStyle w:val="Heading1"/>
        <w:spacing w:after="140" w:before="280"/>
      </w:pPr>
      <w:r>
        <w:rPr>
          <w:rFonts w:ascii="Times New Roman" w:cs="Times New Roman" w:eastAsia="Times New Roman" w:hAnsi="Times New Roman"/>
          <w:b/>
          <w:bCs/>
          <w:sz w:val="26"/>
          <w:szCs w:val="26"/>
        </w:rPr>
        <w:t xml:space="preserve">SYNOPSIS</w:t>
      </w:r>
    </w:p>
    <w:p>
      <w:pPr>
        <w:spacing w:after="160" w:line="276"/>
        <w:jc w:val="both"/>
      </w:pPr>
      <w:r>
        <w:rPr>
          <w:rFonts w:ascii="Times New Roman" w:cs="Times New Roman" w:eastAsia="Times New Roman" w:hAnsi="Times New Roman"/>
          <w:sz w:val="24"/>
          <w:szCs w:val="24"/>
        </w:rPr>
        <w:t xml:space="preserve">The intimation asserts that, the tax having been paid, the appellant cannot appeal against the penalty alone. The assertion is contrary to Section 107. An appeal lies against “any decision or order,” which includes any part of an order; an order confirming tax, interest and penalty is appealable as to the penalty alone, and the appeal form itself provides separate columns for tax, interest and penalty, contemplating exactly this. The rejection is therefore untenable, and the appeal must be taken on record.</w:t>
      </w:r>
    </w:p>
    <w:p>
      <w:pPr>
        <w:pStyle w:val="Heading1"/>
        <w:spacing w:after="140" w:before="280"/>
      </w:pPr>
      <w:r>
        <w:rPr>
          <w:rFonts w:ascii="Times New Roman" w:cs="Times New Roman" w:eastAsia="Times New Roman" w:hAnsi="Times New Roman"/>
          <w:b/>
          <w:bCs/>
          <w:sz w:val="26"/>
          <w:szCs w:val="26"/>
        </w:rPr>
        <w:t xml:space="preserve">FACTUAL BACKGROUND</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By order in FORM GST DRC-07 dated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a demand of tax, interest and penalty was confirmed. The appellant paid the tax and filed an appeal under Section 107 challenging only the penalty (Ref.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By intimation dated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the appellate office declined to entertain the appeal on the ground that the penalty alone cannot be challenged.</w:t>
      </w:r>
    </w:p>
    <w:p>
      <w:pPr>
        <w:pStyle w:val="Heading1"/>
        <w:spacing w:after="140" w:before="280"/>
      </w:pPr>
      <w:r>
        <w:rPr>
          <w:rFonts w:ascii="Times New Roman" w:cs="Times New Roman" w:eastAsia="Times New Roman" w:hAnsi="Times New Roman"/>
          <w:b/>
          <w:bCs/>
          <w:sz w:val="26"/>
          <w:szCs w:val="26"/>
        </w:rPr>
        <w:t xml:space="preserve">SUBMISSIONS</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Section 107(1) confers a right of appeal on “any person aggrieved by any decision or order.” The expression ‘any… order’ takes in any part of an order; a person who accepts the tax but disputes the penalty is ‘aggrieved’ by that part and may appeal against it. Nothing in Section 107 confines the appeal to the tax component or makes payment of tax a bar to challenging the penalty.</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The point is concluded by authority. In </w:t>
      </w:r>
      <w:r>
        <w:rPr>
          <w:rFonts w:ascii="Times New Roman" w:cs="Times New Roman" w:eastAsia="Times New Roman" w:hAnsi="Times New Roman"/>
          <w:i/>
          <w:iCs/>
          <w:sz w:val="24"/>
          <w:szCs w:val="24"/>
        </w:rPr>
        <w:t xml:space="preserve">Aatral Associates v. State Tax Officer</w:t>
      </w:r>
      <w:r>
        <w:rPr>
          <w:rFonts w:ascii="Times New Roman" w:cs="Times New Roman" w:eastAsia="Times New Roman" w:hAnsi="Times New Roman"/>
          <w:sz w:val="24"/>
          <w:szCs w:val="24"/>
        </w:rPr>
        <w:t xml:space="preserve">, Madras High Court, W.P. No. 21544 of 2024, dated 12 August 2024</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the Court set aside an intimation rejecting a penalty-only appeal and directed the appellate authority to take the appeal on record and decide it on merits, the tax having been paid. The same conclusion follows from the structure of FORM GST APL-01, which provides separate columns for tax, interest and penalty in the statement of the amount in dispute and the pre-deposit.</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As to pre-deposit: for a penalty-only appeal filed before 1 October 2025, no pre-deposit was payable, the pre-deposit under Section 107(6) being tied to the tax in dispute; for an appeal filed on or after 1 October 2025, the Finance Act, 2025 requires ten per cent of the penalty (Notification No. 16/2025-Central Tax)</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The appellant has complied with whichever applies.</w:t>
      </w:r>
    </w:p>
    <w:p>
      <w:pPr>
        <w:pStyle w:val="Heading1"/>
        <w:spacing w:after="140" w:before="280"/>
      </w:pPr>
      <w:r>
        <w:rPr>
          <w:rFonts w:ascii="Times New Roman" w:cs="Times New Roman" w:eastAsia="Times New Roman" w:hAnsi="Times New Roman"/>
          <w:b/>
          <w:bCs/>
          <w:sz w:val="26"/>
          <w:szCs w:val="26"/>
        </w:rPr>
        <w:t xml:space="preserve">PRAYER</w:t>
      </w:r>
    </w:p>
    <w:p>
      <w:pPr>
        <w:spacing w:after="160" w:line="276"/>
        <w:jc w:val="both"/>
      </w:pPr>
      <w:r>
        <w:rPr>
          <w:rFonts w:ascii="Times New Roman" w:cs="Times New Roman" w:eastAsia="Times New Roman" w:hAnsi="Times New Roman"/>
          <w:sz w:val="24"/>
          <w:szCs w:val="24"/>
        </w:rPr>
        <w:t xml:space="preserve">It is prayed that the intimation be withdrawn / set aside, an appeal against the penalty alone being maintainable under Section 107; that the appeal be taken on record and decided on merits after a personal hearing.</w:t>
      </w:r>
    </w:p>
    <w:p>
      <w:pPr>
        <w:spacing w:after="60" w:before="240"/>
      </w:pPr>
      <w:r>
        <w:rPr>
          <w:rFonts w:ascii="Times New Roman" w:cs="Times New Roman" w:eastAsia="Times New Roman" w:hAnsi="Times New Roman"/>
          <w:sz w:val="24"/>
          <w:szCs w:val="24"/>
        </w:rPr>
        <w:t xml:space="preserve">Yours faithfully,</w:t>
      </w:r>
    </w:p>
    <w:p>
      <w:r>
        <w:rPr>
          <w:rFonts w:ascii="Times New Roman" w:cs="Times New Roman" w:eastAsia="Times New Roman" w:hAnsi="Times New Roman"/>
          <w:sz w:val="24"/>
          <w:szCs w:val="24"/>
        </w:rPr>
        <w:t xml:space="preserve">For and on behalf of</w:t>
      </w:r>
    </w:p>
    <w:p>
      <w:r>
        <w:rPr>
          <w:rFonts w:ascii="Times New Roman" w:cs="Times New Roman" w:eastAsia="Times New Roman" w:hAnsi="Times New Roman"/>
          <w:b/>
          <w:bCs/>
          <w:sz w:val="24"/>
          <w:szCs w:val="24"/>
        </w:rPr>
        <w:t xml:space="preserve">M/s Noticedesk Technologies Private Limited</w:t>
      </w:r>
    </w:p>
    <w:p>
      <w:pPr>
        <w:spacing w:before="200"/>
      </w:pPr>
      <w:r>
        <w:rPr>
          <w:rFonts w:ascii="Times New Roman" w:cs="Times New Roman" w:eastAsia="Times New Roman" w:hAnsi="Times New Roman"/>
          <w:sz w:val="24"/>
          <w:szCs w:val="24"/>
        </w:rPr>
        <w:t xml:space="preserve">_______________________________</w:t>
      </w:r>
    </w:p>
    <w:p>
      <w:r>
        <w:rPr>
          <w:rFonts w:ascii="Times New Roman" w:cs="Times New Roman" w:eastAsia="Times New Roman" w:hAnsi="Times New Roman"/>
          <w:b/>
          <w:bCs/>
          <w:sz w:val="24"/>
          <w:szCs w:val="24"/>
        </w:rPr>
        <w:t xml:space="preserve">Authorised Signatory / Director</w:t>
      </w:r>
    </w:p>
    <w:p>
      <w:pPr>
        <w:spacing w:before="120"/>
      </w:pPr>
      <w:r>
        <w:rPr>
          <w:rFonts w:ascii="Times New Roman" w:cs="Times New Roman" w:eastAsia="Times New Roman" w:hAnsi="Times New Roman"/>
          <w:sz w:val="24"/>
          <w:szCs w:val="24"/>
        </w:rPr>
        <w:t xml:space="preserve">Place: Mumbai</w:t>
      </w:r>
    </w:p>
    <w:p>
      <w:r>
        <w:rPr>
          <w:rFonts w:ascii="Times New Roman" w:cs="Times New Roman" w:eastAsia="Times New Roman" w:hAnsi="Times New Roman"/>
          <w:sz w:val="24"/>
          <w:szCs w:val="24"/>
        </w:rPr>
        <w:t xml:space="preserve">Date: [____]</w:t>
      </w:r>
    </w:p>
    <w:p>
      <w:pPr>
        <w:spacing w:before="120"/>
      </w:pPr>
      <w:r>
        <w:rPr>
          <w:rFonts w:ascii="Times New Roman" w:cs="Times New Roman" w:eastAsia="Times New Roman" w:hAnsi="Times New Roman"/>
          <w:i/>
          <w:iCs/>
          <w:sz w:val="24"/>
          <w:szCs w:val="24"/>
        </w:rPr>
        <w:t xml:space="preserve">Filed through [____], Authorised Representative.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720"/>
      </w:pPr>
      <w:rPr>
        <w:b/>
        <w:bCs/>
      </w:rPr>
    </w:lvl>
  </w:abstractNum>
  <w:abstractNum w:abstractNumId="4" w15:restartNumberingAfterBreak="0">
    <w:multiLevelType w:val="hybridMultilevel"/>
    <w:lvl w:ilvl="0" w15:tentative="1">
      <w:start w:val="1"/>
      <w:numFmt w:val="decimal"/>
      <w:lvlText w:val="%1."/>
      <w:lvlJc w:val="left"/>
      <w:pPr>
        <w:ind w:left="720" w:hanging="720"/>
      </w:pPr>
      <w:rPr>
        <w:b/>
        <w:bCs/>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2026-06-13T08:13:12.511Z</dcterms:created>
  <dcterms:modified xsi:type="dcterms:W3CDTF">2026-06-13T08:13:12.511Z</dcterms:modified>
</cp:coreProperties>
</file>

<file path=docProps/custom.xml><?xml version="1.0" encoding="utf-8"?>
<Properties xmlns="http://schemas.openxmlformats.org/officeDocument/2006/custom-properties" xmlns:vt="http://schemas.openxmlformats.org/officeDocument/2006/docPropsVTypes"/>
</file>