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i/>
          <w:iCs/>
          <w:sz w:val="24"/>
          <w:szCs w:val="24"/>
        </w:rPr>
        <w:t xml:space="preserve">[See Rule 108(1)]</w:t>
      </w:r>
    </w:p>
    <w:p>
      <w:pPr>
        <w:spacing w:after="120"/>
        <w:jc w:val="center"/>
      </w:pPr>
      <w:r>
        <w:rPr>
          <w:rFonts w:ascii="Times New Roman" w:cs="Times New Roman" w:eastAsia="Times New Roman" w:hAnsi="Times New Roman"/>
          <w:b/>
          <w:bCs/>
          <w:sz w:val="24"/>
          <w:szCs w:val="24"/>
        </w:rPr>
        <w:t xml:space="preserve">APPEAL TO THE APPELLATE AUTHORITY</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Appeal against disallowance of common input tax credit under Rule 42. Party: M/s Noticedesk Technologies Private Limited; place of execution Mumbai. The month-wise Rule 42 working (C2, D1, D2, C3) and the annual true-up are the critical annexures — build them from the returns. Pre-deposit 10% of disputed tax (cap Rs. 20 crore), Electronic Cash Ledger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 GSTIN / Temporary ID / UIN</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[__________]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 Legal name of the appellant</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M/s Noticedesk Technologies Private Limited</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 Trade name, if any</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4. Address</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 Mumbai</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5. Order No. &amp; date (FORM GST DRC-07)</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6. Designation of the officer passing the order</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7. Date of communication of the order</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8. Name of the authorised representative</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9(1). Brief issue of the case under dispute</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Disallowance / reversal of common ITC under Section 17(2) read with Rule 42</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9(3). Period of dispute</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9(4). Amount under dispute</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10. Whether the appellant wishes to be heard in person</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Yes</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11. Statement of facts</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As per Annexure A</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12. Grounds of appeal</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As per Annexure B</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13. Prayer</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As per grounds of appeal</w:t>
            </w:r>
          </w:p>
        </w:tc>
      </w:tr>
    </w:tbl>
    <w:p>
      <w:pPr>
        <w:spacing w:after="160" w:line="276"/>
        <w:jc w:val="both"/>
      </w:pPr>
      <w:r>
        <w:rPr>
          <w:rFonts w:ascii="Times New Roman" w:cs="Times New Roman" w:eastAsia="Times New Roman" w:hAnsi="Times New Roman"/>
          <w:sz w:val="24"/>
          <w:szCs w:val="24"/>
        </w:rPr>
        <w:t xml:space="preserve">Pre-deposit: the appellant has paid the admitted amount in full and ten per cent of the tax in dispute under Section 107(6) through the Electronic Cash Ledger (challan enclosed); recovery of the balance stands stayed under Section 107(7).</w:t>
      </w:r>
    </w:p>
    <w:p>
      <w:pPr>
        <w:pStyle w:val="Heading1"/>
        <w:spacing w:after="140" w:before="280"/>
      </w:pPr>
      <w:r>
        <w:rPr>
          <w:rFonts w:ascii="Times New Roman" w:cs="Times New Roman" w:eastAsia="Times New Roman" w:hAnsi="Times New Roman"/>
          <w:b/>
          <w:bCs/>
          <w:sz w:val="26"/>
          <w:szCs w:val="26"/>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makes both taxable (including zero-rated) and exempt supplies, and accordingly reverses common input tax credit attributable to exempt supplies and non-business use under Rule 42, retaining credit referable exclusively to taxable / zero-rated supplies. For FY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reversal was computed month-wise and trued up at year-end.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impugned order disallows / reverses common credit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computing the reversal otherwise than in accordance with Rule 42 — by </w:t>
      </w:r>
      <w:r>
        <w:rPr>
          <w:rFonts w:ascii="Times New Roman" w:cs="Times New Roman" w:eastAsia="Times New Roman" w:hAnsi="Times New Roman"/>
          <w:b/>
          <w:bCs/>
          <w:sz w:val="24"/>
          <w:szCs w:val="24"/>
        </w:rPr>
        <w:t xml:space="preserve">[treating the whole common credit as reversible / ignoring the exclusive-use segregation / disregarding the annual true-up — specify]</w:t>
      </w:r>
      <w:r>
        <w:rPr>
          <w:rFonts w:ascii="Times New Roman" w:cs="Times New Roman" w:eastAsia="Times New Roman" w:hAnsi="Times New Roman"/>
          <w:sz w:val="24"/>
          <w:szCs w:val="24"/>
        </w:rPr>
        <w:t xml:space="preserve">.</w:t>
      </w:r>
    </w:p>
    <w:p>
      <w:pPr>
        <w:pStyle w:val="Heading1"/>
        <w:spacing w:after="140" w:before="280"/>
      </w:pPr>
      <w:r>
        <w:rPr>
          <w:rFonts w:ascii="Times New Roman" w:cs="Times New Roman" w:eastAsia="Times New Roman" w:hAnsi="Times New Roman"/>
          <w:b/>
          <w:bCs/>
          <w:sz w:val="26"/>
          <w:szCs w:val="26"/>
        </w:rPr>
        <w:t xml:space="preserve">ANNEXURE B — GROUNDS OF APPEAL</w:t>
      </w:r>
    </w:p>
    <w:p>
      <w:pPr>
        <w:pStyle w:val="Heading2"/>
        <w:spacing w:after="120" w:before="200"/>
      </w:pPr>
      <w:r>
        <w:rPr>
          <w:rFonts w:ascii="Times New Roman" w:cs="Times New Roman" w:eastAsia="Times New Roman" w:hAnsi="Times New Roman"/>
          <w:b/>
          <w:bCs/>
          <w:sz w:val="24"/>
          <w:szCs w:val="24"/>
        </w:rPr>
        <w:t xml:space="preserve">GROUND 1: THE REVERSAL MUST FOLLOW THE RULE 42 FORMULA</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17(2) read with Rule 42 prescribes the only method for reversing common credit. Of the total input tax (T), credit attributable exclusively to exempt supplies (T3) and credit exclusively for taxable / zero-rated supplies (T4) are first segregated; the common credit C2 = C1 − T4; the reversal attributable to exempt supplies is D1 = (E ÷ F) × C2 (E being the exempt turnover and F the total turnover), and D2 = 5% of C2 for notional non-business use; the eligible common credit C3 = C2 − (D1 + D2). The order, by </w:t>
      </w:r>
      <w:r>
        <w:rPr>
          <w:rFonts w:ascii="Times New Roman" w:cs="Times New Roman" w:eastAsia="Times New Roman" w:hAnsi="Times New Roman"/>
          <w:b/>
          <w:bCs/>
          <w:sz w:val="24"/>
          <w:szCs w:val="24"/>
        </w:rPr>
        <w:t xml:space="preserve">[treating the whole credit as reversible / ignoring T4 / disregarding the formula]</w:t>
      </w:r>
      <w:r>
        <w:rPr>
          <w:rFonts w:ascii="Times New Roman" w:cs="Times New Roman" w:eastAsia="Times New Roman" w:hAnsi="Times New Roman"/>
          <w:sz w:val="24"/>
          <w:szCs w:val="24"/>
        </w:rPr>
        <w:t xml:space="preserve">, departs from the Rule and is unsustainable.</w:t>
      </w:r>
    </w:p>
    <w:p>
      <w:pPr>
        <w:pStyle w:val="Heading2"/>
        <w:spacing w:after="120" w:before="200"/>
      </w:pPr>
      <w:r>
        <w:rPr>
          <w:rFonts w:ascii="Times New Roman" w:cs="Times New Roman" w:eastAsia="Times New Roman" w:hAnsi="Times New Roman"/>
          <w:b/>
          <w:bCs/>
          <w:sz w:val="24"/>
          <w:szCs w:val="24"/>
        </w:rPr>
        <w:t xml:space="preserve">GROUND 2: THE ANNUAL TRUE-UP AND THE STATUTORY EXCLUSIONS WERE IGNORED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Rule 42(2) requires the reversal to be finally computed for the financial year and trued up by the due date of the September return of the following year, with any short reversal added to output tax (with interest) and any excess reclaimed as credit. The order ignores the year-end reconciliation. Further, the Explanation to Rule 42 / Section 17 excludes specified items from the value of exempt supplies and total turnover; interest income on deposits, loans and advances is exempt and is to be excluded from the reversal base (CBIC Circular No. 102/21/2019-GST dated 28 June 2019</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Zero-rated supplies are not exempt supplies and cannot be loaded into E.</w:t>
      </w:r>
    </w:p>
    <w:p>
      <w:pPr>
        <w:pStyle w:val="Heading2"/>
        <w:spacing w:after="120" w:before="200"/>
      </w:pPr>
      <w:r>
        <w:rPr>
          <w:rFonts w:ascii="Times New Roman" w:cs="Times New Roman" w:eastAsia="Times New Roman" w:hAnsi="Times New Roman"/>
          <w:b/>
          <w:bCs/>
          <w:sz w:val="24"/>
          <w:szCs w:val="24"/>
        </w:rPr>
        <w:t xml:space="preserve">GROUND 3: NO INTENT, NO SUPPRESSION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reversal having been made in accordance with the Rule and disclosed in the returns, there is no short reversal, much less any suppression; the demand of interest and penalty is consequential and fails with the principal.</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respectfully prayed that the Learned Appellate Authority be pleased to: (i) SET ASIDE the disallowance / reversal of common credit, the reversal made by the appellant being in accordance with Rule 42; (ii) in the alternative, REMAND for recomputation strictly per Rule 42 including the annual true-up and the statutory exclusions; (iii) DELETE the consequential interest and penalty; (iv) GRANT a personal hearing; and (v) PASS such further orders as are just.</w:t>
      </w:r>
    </w:p>
    <w:p>
      <w:pPr>
        <w:spacing w:after="160" w:line="276"/>
        <w:jc w:val="both"/>
      </w:pPr>
      <w:r>
        <w:rPr>
          <w:rFonts w:ascii="Times New Roman" w:cs="Times New Roman" w:eastAsia="Times New Roman" w:hAnsi="Times New Roman"/>
          <w:i/>
          <w:iCs/>
          <w:sz w:val="24"/>
          <w:szCs w:val="24"/>
        </w:rPr>
        <w:t xml:space="preserve">The appellant reserves the right to file additional submissions. Nothing herein waives any right or defence.</w:t>
      </w:r>
    </w:p>
    <w:p>
      <w:pPr>
        <w:spacing w:after="160" w:line="276"/>
        <w:jc w:val="both"/>
      </w:pPr>
      <w:r>
        <w:rPr>
          <w:rFonts w:ascii="Times New Roman" w:cs="Times New Roman" w:eastAsia="Times New Roman" w:hAnsi="Times New Roman"/>
          <w:b/>
          <w:bCs/>
          <w:i/>
          <w:iCs/>
          <w:sz w:val="24"/>
          <w:szCs w:val="24"/>
        </w:rPr>
        <w:t xml:space="preserve">Note on the Appellate Tribunal (for the record): </w:t>
      </w:r>
      <w:r>
        <w:rPr>
          <w:rFonts w:ascii="Times New Roman" w:cs="Times New Roman" w:eastAsia="Times New Roman" w:hAnsi="Times New Roman"/>
          <w:i/>
          <w:iCs/>
          <w:sz w:val="24"/>
          <w:szCs w:val="24"/>
        </w:rPr>
        <w:t xml:space="preserve">the GST Appellate Tribunal is now operational (benches functional from February 2026), and for first-appeal/revision orders communicated before 1 April 2026 the appeal must be filed by 30 June 2026 (Notification S.O. 4220(E) dated 17 September 2025). On filing the Tribunal appeal with the pre-deposit under Section 112(8) — 10% of the disputed tax (in addition to the 10% paid at the first-appeal stage), and 10% of the penalty in a penalty-only matter — recovery of the balance is stayed under Section 112(9). The exact appeal route, limitation and pre-deposit must be confirmed against the order and the current notifications before filing.</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2026-06-13T08:13:12.574Z</dcterms:created>
  <dcterms:modified xsi:type="dcterms:W3CDTF">2026-06-13T08:13:12.575Z</dcterms:modified>
</cp:coreProperties>
</file>

<file path=docProps/custom.xml><?xml version="1.0" encoding="utf-8"?>
<Properties xmlns="http://schemas.openxmlformats.org/officeDocument/2006/custom-properties" xmlns:vt="http://schemas.openxmlformats.org/officeDocument/2006/docPropsVTypes"/>
</file>