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proposing to reject / keep pending the application for cancellation of registration in FORM GST REG-16 on the ground of a pending assessment / pending dues — pending dues being recoverable independently under Section 29(3) and not a ground to withhold cancellation.</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Complete the REG-16 particulars (reason, effective date, stock and capital-goods tax, returns up to date). The submission rests on s.29(3) and Rule 22(3) timelines.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registered person applied in FORM GST REG-16 for cancellation of its registration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(reason: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notice proposes to reject / keep the application pending because an assessment / recovery is pending. That is not a permissible course. The grounds for refusing cancellation are those in Section 29 read with Rule 21/22; a pending assessment or pending dues is not among them. Section 29(3) expressly provides that cancellation does not affect liability for any period prior to cancellation — the dues remain fully recoverable independently — so there is no warrant to withhold cancellation on that account.</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filed FORM GST REG-16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for cancellation with effect from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stating the reason and furnishing the prescribed particulars (including the tax on the stock and capital goods held), the returns being filed up to date.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the impugned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office proposes to reject / keep pending the application on the ground that an assessment / recovery for an earlier period is pending.</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proper officer is to dispose of a cancellation application within the period prescribed by Rule 22(3), by an order in FORM GST REG-19 (or REG-20). The grounds on which cancellation may be refused are confined to those in Section 29 read with Rule 21; a pending assessment or pending dues is not a prescribed ground.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29(3) is decisive: “the cancellation of registration… shall not affect the liability of the person to pay tax and other dues… for any period prior to the date of cancellation whether or not such tax and other dues are determined before or after the date of cancellation.” The dues, present or future, are therefore recoverable independently of the registration status; withholding cancellation adds nothing to the revenue’s position and is impermissible.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This is borne out by authority. In </w:t>
      </w:r>
      <w:r>
        <w:rPr>
          <w:rFonts w:ascii="Times New Roman" w:cs="Times New Roman" w:eastAsia="Times New Roman" w:hAnsi="Times New Roman"/>
          <w:i/>
          <w:iCs/>
          <w:sz w:val="24"/>
          <w:szCs w:val="24"/>
        </w:rPr>
        <w:t xml:space="preserve">Subhana Fashion v. Commissioner, Delhi GST</w:t>
      </w:r>
      <w:r>
        <w:rPr>
          <w:rFonts w:ascii="Times New Roman" w:cs="Times New Roman" w:eastAsia="Times New Roman" w:hAnsi="Times New Roman"/>
          <w:sz w:val="24"/>
          <w:szCs w:val="24"/>
        </w:rPr>
        <w:t xml:space="preserve">, W.P.(C) 12255/2024, dated 19 September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Delhi High Court held that non-payment of dues is not a ground prescribed under Section 29 / Rule 21 for refusing or cancelling registration, and that the proper course is recovery, not refusal; the action was also faulted for breach of natural justice. The registration / cancellation jurisprudence consistently treats pending dues as a matter for recovery, not a bar to disposal of a REG-16 application.</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application for cancellation in FORM GST REG-16 be allowed and an order in FORM GST REG-19 be passed within the time prescribed by Rule 22(3), the pending assessment / dues being recoverable independently under Section 29(3) and not a ground to withhold cancellation;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2026-06-13T08:13:12.610Z</dcterms:created>
  <dcterms:modified xsi:type="dcterms:W3CDTF">2026-06-13T08:13:12.610Z</dcterms:modified>
</cp:coreProperties>
</file>

<file path=docProps/custom.xml><?xml version="1.0" encoding="utf-8"?>
<Properties xmlns="http://schemas.openxmlformats.org/officeDocument/2006/custom-properties" xmlns:vt="http://schemas.openxmlformats.org/officeDocument/2006/docPropsVTypes"/>
</file>