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val="0"/>
          <w:i w:val="0"/>
          <w:sz w:val="24"/>
        </w:rPr>
        <w:t>To,</w:t>
      </w:r>
    </w:p>
    <w:p>
      <w:pPr>
        <w:jc w:val="left"/>
      </w:pPr>
      <w:r>
        <w:rPr>
          <w:rFonts w:ascii="Times New Roman" w:hAnsi="Times New Roman"/>
          <w:b w:val="0"/>
          <w:i w:val="0"/>
          <w:sz w:val="24"/>
        </w:rPr>
        <w:t>The Proper Officer (State Tax) / [Designation]</w:t>
      </w:r>
    </w:p>
    <w:p>
      <w:pPr>
        <w:jc w:val="left"/>
      </w:pPr>
      <w:r>
        <w:rPr>
          <w:rFonts w:ascii="Times New Roman" w:hAnsi="Times New Roman"/>
          <w:b w:val="0"/>
          <w:i w:val="0"/>
          <w:sz w:val="24"/>
        </w:rPr>
        <w:t>[Ward / Circle / Jurisdiction]</w:t>
      </w:r>
    </w:p>
    <w:p>
      <w:pPr>
        <w:jc w:val="left"/>
      </w:pPr>
      <w:r>
        <w:rPr>
          <w:rFonts w:ascii="Times New Roman" w:hAnsi="Times New Roman"/>
          <w:b w:val="0"/>
          <w:i w:val="0"/>
          <w:sz w:val="24"/>
        </w:rPr>
        <w:t>[Office Address]</w:t>
      </w:r>
    </w:p>
    <w:p>
      <w:pPr>
        <w:jc w:val="left"/>
      </w:pPr>
      <w:r>
        <w:rPr>
          <w:rFonts w:ascii="Times New Roman" w:hAnsi="Times New Roman"/>
          <w:b w:val="0"/>
          <w:i w:val="0"/>
          <w:sz w:val="24"/>
        </w:rPr>
      </w:r>
    </w:p>
    <w:p>
      <w:pPr>
        <w:jc w:val="left"/>
      </w:pPr>
      <w:r>
        <w:rPr>
          <w:rFonts w:ascii="Times New Roman" w:hAnsi="Times New Roman"/>
          <w:b w:val="0"/>
          <w:i w:val="0"/>
          <w:sz w:val="24"/>
        </w:rPr>
        <w:t>Subject: Submission on the validity of pre-deposit under Section 107(6) discharged through debit of the Electronic Credit Ledger</w:t>
      </w:r>
    </w:p>
    <w:p>
      <w:pPr>
        <w:jc w:val="left"/>
      </w:pPr>
      <w:r>
        <w:rPr>
          <w:rFonts w:ascii="Times New Roman" w:hAnsi="Times New Roman"/>
          <w:b w:val="0"/>
          <w:i/>
          <w:sz w:val="24"/>
        </w:rPr>
        <w:t>Drafting note (to be removed before filing): Place of execution Mumbai; confirm the appeal ARN and the DRC-03/electronic credit ledger debit entry reference before filing; the objection being answered is that the appellate authority treated the appeal as defective for pre-deposit paid via credit ledger rather than cash.</w:t>
      </w:r>
    </w:p>
    <w:p>
      <w:pPr>
        <w:jc w:val="left"/>
      </w:pPr>
      <w:r>
        <w:rPr>
          <w:rFonts w:ascii="Times New Roman" w:hAnsi="Times New Roman"/>
          <w:b/>
          <w:i w:val="0"/>
          <w:sz w:val="24"/>
        </w:rPr>
        <w:t>SYNOPSIS</w:t>
      </w:r>
    </w:p>
    <w:p>
      <w:pPr>
        <w:jc w:val="both"/>
      </w:pPr>
      <w:r>
        <w:rPr>
          <w:rFonts w:ascii="Times New Roman" w:hAnsi="Times New Roman"/>
          <w:b w:val="0"/>
          <w:i w:val="0"/>
          <w:sz w:val="24"/>
        </w:rPr>
        <w:t>The mandatory pre-deposit of ten per cent of the disputed tax under Section 107(6) for admission of the appeal was discharged by debit to the Electronic Credit Ledger. The appeal has nonetheless been treated as not properly filed on the objection that pre-deposit must be paid in cash.</w:t>
      </w:r>
    </w:p>
    <w:p>
      <w:pPr>
        <w:jc w:val="left"/>
      </w:pPr>
      <w:r>
        <w:rPr>
          <w:rFonts w:ascii="Times New Roman" w:hAnsi="Times New Roman"/>
          <w:b/>
          <w:i w:val="0"/>
          <w:sz w:val="24"/>
        </w:rPr>
        <w:t>FACTUAL BACKGROUND</w:t>
      </w:r>
    </w:p>
    <w:p>
      <w:pPr>
        <w:jc w:val="both"/>
      </w:pPr>
      <w:r>
        <w:rPr>
          <w:rFonts w:ascii="Times New Roman" w:hAnsi="Times New Roman"/>
          <w:b w:val="0"/>
          <w:i w:val="0"/>
          <w:sz w:val="24"/>
        </w:rPr>
        <w:t>An appeal under Section 107 was filed against the order-in-original within the limitation period, along with pre-deposit of ten per cent of the disputed tax amount debited from the Electronic Credit Ledger.</w:t>
      </w:r>
    </w:p>
    <w:p>
      <w:pPr>
        <w:jc w:val="both"/>
      </w:pPr>
      <w:r>
        <w:rPr>
          <w:rFonts w:ascii="Times New Roman" w:hAnsi="Times New Roman"/>
          <w:b w:val="0"/>
          <w:i w:val="0"/>
          <w:sz w:val="24"/>
        </w:rPr>
        <w:t>A defect memo / office objection has been raised that the pre-deposit ought to have been paid through the Electronic Cash Ledger, and the appeal has been treated as not maintainable pending cash payment.</w:t>
      </w:r>
    </w:p>
    <w:p>
      <w:pPr>
        <w:jc w:val="left"/>
      </w:pPr>
      <w:r>
        <w:rPr>
          <w:rFonts w:ascii="Times New Roman" w:hAnsi="Times New Roman"/>
          <w:b/>
          <w:i w:val="0"/>
          <w:sz w:val="24"/>
        </w:rPr>
        <w:t>SUBMISSIONS</w:t>
      </w:r>
    </w:p>
    <w:p>
      <w:pPr>
        <w:ind w:left="360"/>
        <w:jc w:val="both"/>
      </w:pPr>
      <w:r>
        <w:rPr>
          <w:rFonts w:ascii="Times New Roman" w:hAnsi="Times New Roman"/>
          <w:b w:val="0"/>
          <w:i w:val="0"/>
          <w:sz w:val="24"/>
        </w:rPr>
        <w:t>1. Section 49(4) permits the amount available in the Electronic Credit Ledger to be used for making payment towards 'output tax' under the Act; Explanation (a) to Section 49 defines 'output tax' to exclude tax payable on reverse charge but does not exclude a pre-deposit, which is a payment 'towards' the disputed demand and not a fresh liability distinct in character from output tax.</w:t>
      </w:r>
    </w:p>
    <w:p>
      <w:pPr>
        <w:ind w:left="360"/>
        <w:jc w:val="both"/>
      </w:pPr>
      <w:r>
        <w:rPr>
          <w:rFonts w:ascii="Times New Roman" w:hAnsi="Times New Roman"/>
          <w:b w:val="0"/>
          <w:i w:val="0"/>
          <w:sz w:val="24"/>
        </w:rPr>
        <w:t>2. Circular No. 172/04/2022-GST clarifies that the Electronic Credit Ledger can be used to make payment of the pre-deposit amount under Section 107(6) / Section 112(8), removing any doubt on the eligibility of credit-ledger debit for pre-deposit.</w:t>
      </w:r>
    </w:p>
    <w:p>
      <w:pPr>
        <w:ind w:left="360"/>
        <w:jc w:val="both"/>
      </w:pPr>
      <w:r>
        <w:rPr>
          <w:rFonts w:ascii="Times New Roman" w:hAnsi="Times New Roman"/>
          <w:b w:val="0"/>
          <w:i w:val="0"/>
          <w:sz w:val="24"/>
        </w:rPr>
        <w:t>3. The appeal having been accompanied by a valid pre-deposit within the meaning of Section 107(6) as clarified by the Circular, it is not open to treat the appeal as defective or time-barred on this ground.</w:t>
      </w:r>
    </w:p>
    <w:p>
      <w:pPr>
        <w:jc w:val="left"/>
      </w:pPr>
      <w:r>
        <w:rPr>
          <w:rFonts w:ascii="Times New Roman" w:hAnsi="Times New Roman"/>
          <w:b/>
          <w:i w:val="0"/>
          <w:sz w:val="24"/>
        </w:rPr>
        <w:t>PRAYER</w:t>
      </w:r>
    </w:p>
    <w:p>
      <w:pPr>
        <w:jc w:val="both"/>
      </w:pPr>
      <w:r>
        <w:rPr>
          <w:rFonts w:ascii="Times New Roman" w:hAnsi="Times New Roman"/>
          <w:b w:val="0"/>
          <w:i w:val="0"/>
          <w:sz w:val="24"/>
        </w:rPr>
        <w:t>It is prayed that the pre-deposit debited from the Electronic Credit Ledger be accepted as valid compliance with Section 107(6), and the appeal be registered and heard on merits.</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For and on behalf of</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Authorised Signatory / Director</w:t>
      </w:r>
    </w:p>
    <w:p>
      <w:pPr>
        <w:jc w:val="left"/>
      </w:pPr>
      <w:r>
        <w:rPr>
          <w:rFonts w:ascii="Times New Roman" w:hAnsi="Times New Roman"/>
          <w:b w:val="0"/>
          <w:i w:val="0"/>
          <w:sz w:val="24"/>
        </w:rPr>
        <w:t>Place: Mumbai</w:t>
      </w:r>
    </w:p>
    <w:p>
      <w:pPr>
        <w:jc w:val="left"/>
      </w:pPr>
      <w:r>
        <w:rPr>
          <w:rFonts w:ascii="Times New Roman" w:hAnsi="Times New Roman"/>
          <w:b w:val="0"/>
          <w:i w:val="0"/>
          <w:sz w:val="24"/>
        </w:rPr>
        <w:t>Date: [____]</w:t>
      </w:r>
    </w:p>
    <w:p>
      <w:pPr>
        <w:jc w:val="left"/>
      </w:pPr>
      <w:r>
        <w:rPr>
          <w:rFonts w:ascii="Times New Roman" w:hAnsi="Times New Roman"/>
          <w:b w:val="0"/>
          <w:i w:val="0"/>
          <w:sz w:val="24"/>
        </w:rPr>
        <w:t>Filed through [____], Authorised Representative.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