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Intimation and request for stay of recovery — the demand resting solely on Section 16(4), the input tax credit now being allowable under the retrospective Section 16(5), and the registered person pursuing the prescribed rectification / writ remedy.</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Letter to the proper officer / recovery officer. Party: M/s Noticedesk Technologies Private Limited; place of execution Mumbai. CRITICAL: the special rectification window under Notification 22/2024-CT (six months from 8 October 2024) closed about 7 April 2025; confirm whether a rectification application was filed in time. If filed — seek stay pending disposal. If the window was missed and no appeal was filed within the Section 107 limitation, the live route is a writ relying on Section 16(5) (Sri Ganapathi Pandi line); reframe the prayer accordingly. Section 150 bars refund of amounts already paid.</w:t>
      </w:r>
    </w:p>
    <w:p>
      <w:pPr>
        <w:pStyle w:val="Heading1"/>
        <w:spacing w:after="140" w:before="280"/>
      </w:pPr>
      <w:r>
        <w:rPr>
          <w:rFonts w:ascii="Times New Roman" w:cs="Times New Roman" w:eastAsia="Times New Roman" w:hAnsi="Times New Roman"/>
          <w:b/>
          <w:bCs/>
          <w:sz w:val="26"/>
          <w:szCs w:val="26"/>
        </w:rPr>
        <w:t xml:space="preserve">FACTS</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By order in FORM GST DRC-07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credit of Rs.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availed in respect of FY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was denied solely on the ground that the return for the relevant month was filed beyond the time then prescribed by Section 16(4); the demand was confirmed. A recovery intimation / order has now been received.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order rests on no ground other than Section 16(4); the credit is otherwise admissible and is duly supported.</w:t>
      </w:r>
    </w:p>
    <w:p>
      <w:pPr>
        <w:pStyle w:val="Heading1"/>
        <w:spacing w:after="140" w:before="280"/>
      </w:pPr>
      <w:r>
        <w:rPr>
          <w:rFonts w:ascii="Times New Roman" w:cs="Times New Roman" w:eastAsia="Times New Roman" w:hAnsi="Times New Roman"/>
          <w:b/>
          <w:bCs/>
          <w:sz w:val="26"/>
          <w:szCs w:val="26"/>
        </w:rPr>
        <w:t xml:space="preserve">SUBMISSIONS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Section 16(5), inserted by the Finance (No. 2) Act, 2024 with retrospective effect from 1 July 2017</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provides that for FY 2017-18 to 2020-21 input tax credit on any invoice or debit note may be taken in any return under Section 39 filed up to 30 November 2021. The credit denied by the impugned order falls squarely within Section 16(5); the sole basis of the order has therefore been removed by Parliament with retrospective effect, and the demand cannot survive.</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To give effect to this, CBIC Circular No. 237/31/2024-GST dated 15 October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and the special procedure notified by Notification No. 22/2024-Central Tax dated 8 October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provide for rectification of an order that confirmed a demand solely on the Section 16(4) ground but where the credit is now available under Section 16(5)/(6). The registered person has filed / is pursuing that rectification (or, the special-procedure window having closed, is pursuing a writ on the same ground).</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Recovery ought to be stayed in the meanwhile. The High Courts have, en masse, set aside or remanded Section 16(4) orders in the light of Section 16(5): </w:t>
      </w:r>
      <w:r>
        <w:rPr>
          <w:rFonts w:ascii="Times New Roman" w:cs="Times New Roman" w:eastAsia="Times New Roman" w:hAnsi="Times New Roman"/>
          <w:i/>
          <w:iCs/>
          <w:sz w:val="24"/>
          <w:szCs w:val="24"/>
        </w:rPr>
        <w:t xml:space="preserve">Sri Ganapathi Pandi Industries v. Assistant Commissioner (ST)</w:t>
      </w:r>
      <w:r>
        <w:rPr>
          <w:rFonts w:ascii="Times New Roman" w:cs="Times New Roman" w:eastAsia="Times New Roman" w:hAnsi="Times New Roman"/>
          <w:sz w:val="24"/>
          <w:szCs w:val="24"/>
        </w:rPr>
        <w:t xml:space="preserve">, Madras High Court, W.P. No. 25081 of 2023, common order dated 17 October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and the line following it. Recovery of a demand whose only foundation has been retrospectively removed would cause irreparable prejudice and serve no purpose, the credit being admissible. Section 78 in any event permits recovery only after three months from service of the order, save for reasons recorded in writing (CBIC Instruction No. 01/2024-GST dated 30 May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w:t>
      </w:r>
    </w:p>
    <w:p>
      <w:pPr>
        <w:pStyle w:val="Heading1"/>
        <w:spacing w:after="140" w:before="280"/>
      </w:pPr>
      <w:r>
        <w:rPr>
          <w:rFonts w:ascii="Times New Roman" w:cs="Times New Roman" w:eastAsia="Times New Roman" w:hAnsi="Times New Roman"/>
          <w:b/>
          <w:bCs/>
          <w:sz w:val="26"/>
          <w:szCs w:val="26"/>
        </w:rPr>
        <w:t xml:space="preserve">REQUEST</w:t>
      </w:r>
    </w:p>
    <w:p>
      <w:pPr>
        <w:spacing w:after="160" w:line="276"/>
        <w:jc w:val="both"/>
      </w:pPr>
      <w:r>
        <w:rPr>
          <w:rFonts w:ascii="Times New Roman" w:cs="Times New Roman" w:eastAsia="Times New Roman" w:hAnsi="Times New Roman"/>
          <w:sz w:val="24"/>
          <w:szCs w:val="24"/>
        </w:rPr>
        <w:t xml:space="preserve">It is requested that recovery be stayed and any attachment lifted pending disposal of the rectification / writ, the demand resting solely on Section 16(4) and the credit being allowable under the retrospective Section 16(5); and that the order be rectified accordingly. A short acknowledgment of this intimation is requested.</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2026-06-13T08:13:12.625Z</dcterms:created>
  <dcterms:modified xsi:type="dcterms:W3CDTF">2026-06-13T08:13:12.625Z</dcterms:modified>
</cp:coreProperties>
</file>

<file path=docProps/custom.xml><?xml version="1.0" encoding="utf-8"?>
<Properties xmlns="http://schemas.openxmlformats.org/officeDocument/2006/custom-properties" xmlns:vt="http://schemas.openxmlformats.org/officeDocument/2006/docPropsVTypes"/>
</file>