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val="0"/>
          <w:i w:val="0"/>
          <w:sz w:val="24"/>
        </w:rPr>
        <w:t>To,</w:t>
      </w:r>
    </w:p>
    <w:p>
      <w:pPr>
        <w:jc w:val="left"/>
      </w:pPr>
      <w:r>
        <w:rPr>
          <w:rFonts w:ascii="Times New Roman" w:hAnsi="Times New Roman"/>
          <w:b w:val="0"/>
          <w:i w:val="0"/>
          <w:sz w:val="24"/>
        </w:rPr>
        <w:t>The Proper Officer (State Tax) / [Designation]</w:t>
      </w:r>
    </w:p>
    <w:p>
      <w:pPr>
        <w:jc w:val="left"/>
      </w:pPr>
      <w:r>
        <w:rPr>
          <w:rFonts w:ascii="Times New Roman" w:hAnsi="Times New Roman"/>
          <w:b w:val="0"/>
          <w:i w:val="0"/>
          <w:sz w:val="24"/>
        </w:rPr>
        <w:t>[Ward / Circle / Jurisdiction]</w:t>
      </w:r>
    </w:p>
    <w:p>
      <w:pPr>
        <w:jc w:val="left"/>
      </w:pPr>
      <w:r>
        <w:rPr>
          <w:rFonts w:ascii="Times New Roman" w:hAnsi="Times New Roman"/>
          <w:b w:val="0"/>
          <w:i w:val="0"/>
          <w:sz w:val="24"/>
        </w:rPr>
        <w:t>[Office Address]</w:t>
      </w:r>
    </w:p>
    <w:p>
      <w:pPr>
        <w:jc w:val="left"/>
      </w:pPr>
      <w:r>
        <w:rPr>
          <w:rFonts w:ascii="Times New Roman" w:hAnsi="Times New Roman"/>
          <w:b w:val="0"/>
          <w:i w:val="0"/>
          <w:sz w:val="24"/>
        </w:rPr>
      </w:r>
    </w:p>
    <w:p>
      <w:pPr>
        <w:jc w:val="left"/>
      </w:pPr>
      <w:r>
        <w:rPr>
          <w:rFonts w:ascii="Times New Roman" w:hAnsi="Times New Roman"/>
          <w:b w:val="0"/>
          <w:i w:val="0"/>
          <w:sz w:val="24"/>
        </w:rPr>
        <w:t>Subject: Objection to computation of penalty under Section 129(1)(b) on the premise that the owner of the goods did not come forward, where the tax invoice and e-way bill establish ownership</w:t>
      </w:r>
    </w:p>
    <w:p>
      <w:pPr>
        <w:jc w:val="left"/>
      </w:pPr>
      <w:r>
        <w:rPr>
          <w:rFonts w:ascii="Times New Roman" w:hAnsi="Times New Roman"/>
          <w:b w:val="0"/>
          <w:i/>
          <w:sz w:val="24"/>
        </w:rPr>
        <w:t>Drafting note (to be removed before filing): Place of execution Mumbai; annex the tax invoice, e-way bill and delivery challan showing the consignee's particulars, and the letter/email by which the consignee/transporter identified itself as owner within the statutory period, before filing.</w:t>
      </w:r>
    </w:p>
    <w:p>
      <w:pPr>
        <w:jc w:val="left"/>
      </w:pPr>
      <w:r>
        <w:rPr>
          <w:rFonts w:ascii="Times New Roman" w:hAnsi="Times New Roman"/>
          <w:b/>
          <w:i w:val="0"/>
          <w:sz w:val="24"/>
        </w:rPr>
        <w:t>SYNOPSIS</w:t>
      </w:r>
    </w:p>
    <w:p>
      <w:pPr>
        <w:jc w:val="both"/>
      </w:pPr>
      <w:r>
        <w:rPr>
          <w:rFonts w:ascii="Times New Roman" w:hAnsi="Times New Roman"/>
          <w:b w:val="0"/>
          <w:i w:val="0"/>
          <w:sz w:val="24"/>
        </w:rPr>
        <w:t>Penalty on detained goods has been computed under the higher clause, Section 129(1)(b), applicable where the owner does not come forward, notwithstanding that the tax invoice, e-way bill and other accompanying documents clearly identify the consignee as the owner of the goods, and the consignee duly responded to the detention within time.</w:t>
      </w:r>
    </w:p>
    <w:p>
      <w:pPr>
        <w:jc w:val="left"/>
      </w:pPr>
      <w:r>
        <w:rPr>
          <w:rFonts w:ascii="Times New Roman" w:hAnsi="Times New Roman"/>
          <w:b/>
          <w:i w:val="0"/>
          <w:sz w:val="24"/>
        </w:rPr>
        <w:t>FACTUAL BACKGROUND</w:t>
      </w:r>
    </w:p>
    <w:p>
      <w:pPr>
        <w:jc w:val="both"/>
      </w:pPr>
      <w:r>
        <w:rPr>
          <w:rFonts w:ascii="Times New Roman" w:hAnsi="Times New Roman"/>
          <w:b w:val="0"/>
          <w:i w:val="0"/>
          <w:sz w:val="24"/>
        </w:rPr>
        <w:t>The goods were detained under Section 129 while in movement, accompanied by a tax invoice and e-way bill in the name of the registered consignee.</w:t>
      </w:r>
    </w:p>
    <w:p>
      <w:pPr>
        <w:jc w:val="both"/>
      </w:pPr>
      <w:r>
        <w:rPr>
          <w:rFonts w:ascii="Times New Roman" w:hAnsi="Times New Roman"/>
          <w:b w:val="0"/>
          <w:i w:val="0"/>
          <w:sz w:val="24"/>
        </w:rPr>
        <w:t>On intimation of detention, the consignee, being the registered owner of the goods as reflected in the accompanying documents, promptly identified itself and sought release, within the time prescribed.</w:t>
      </w:r>
    </w:p>
    <w:p>
      <w:pPr>
        <w:jc w:val="both"/>
      </w:pPr>
      <w:r>
        <w:rPr>
          <w:rFonts w:ascii="Times New Roman" w:hAnsi="Times New Roman"/>
          <w:b w:val="0"/>
          <w:i w:val="0"/>
          <w:sz w:val="24"/>
        </w:rPr>
        <w:t>Despite this, the penalty order computed liability under Section 129(1)(b) (applicable where the owner does not come forward), attracting a higher quantum than Section 129(1)(a).</w:t>
      </w:r>
    </w:p>
    <w:p>
      <w:pPr>
        <w:jc w:val="left"/>
      </w:pPr>
      <w:r>
        <w:rPr>
          <w:rFonts w:ascii="Times New Roman" w:hAnsi="Times New Roman"/>
          <w:b/>
          <w:i w:val="0"/>
          <w:sz w:val="24"/>
        </w:rPr>
        <w:t>SUBMISSIONS</w:t>
      </w:r>
    </w:p>
    <w:p>
      <w:pPr>
        <w:ind w:left="360"/>
        <w:jc w:val="both"/>
      </w:pPr>
      <w:r>
        <w:rPr>
          <w:rFonts w:ascii="Times New Roman" w:hAnsi="Times New Roman"/>
          <w:b w:val="0"/>
          <w:i w:val="0"/>
          <w:sz w:val="24"/>
        </w:rPr>
        <w:t>1. Circular No. 76/50/2018-GST clarifies that if the invoice or any other specified document is accompanying the consignment, the person in charge of the conveyance shall be deemed to be the owner; where such document names the consignee, and the consignee identifies itself, penalty falls to be computed under Section 129(1)(a), not (b).</w:t>
      </w:r>
    </w:p>
    <w:p>
      <w:pPr>
        <w:ind w:left="360"/>
        <w:jc w:val="both"/>
      </w:pPr>
      <w:r>
        <w:rPr>
          <w:rFonts w:ascii="Times New Roman" w:hAnsi="Times New Roman"/>
          <w:b w:val="0"/>
          <w:i w:val="0"/>
          <w:sz w:val="24"/>
        </w:rPr>
        <w:t>2. Ownership having been established from the face of the accompanying documents and the consignee having come forward within the time allowed after interception, application of Section 129(1)(b) is factually incorrect and contrary to the Circular.</w:t>
      </w:r>
    </w:p>
    <w:p>
      <w:pPr>
        <w:ind w:left="360"/>
        <w:jc w:val="both"/>
      </w:pPr>
      <w:r>
        <w:rPr>
          <w:rFonts w:ascii="Times New Roman" w:hAnsi="Times New Roman"/>
          <w:b w:val="0"/>
          <w:i w:val="0"/>
          <w:sz w:val="24"/>
        </w:rPr>
        <w:t>3. The differential penalty computed under the higher clause is accordingly liable to be set aside and recomputed under Section 129(1)(a).</w:t>
      </w:r>
    </w:p>
    <w:p>
      <w:pPr>
        <w:jc w:val="left"/>
      </w:pPr>
      <w:r>
        <w:rPr>
          <w:rFonts w:ascii="Times New Roman" w:hAnsi="Times New Roman"/>
          <w:b/>
          <w:i w:val="0"/>
          <w:sz w:val="24"/>
        </w:rPr>
        <w:t>PRAYER</w:t>
      </w:r>
    </w:p>
    <w:p>
      <w:pPr>
        <w:jc w:val="both"/>
      </w:pPr>
      <w:r>
        <w:rPr>
          <w:rFonts w:ascii="Times New Roman" w:hAnsi="Times New Roman"/>
          <w:b w:val="0"/>
          <w:i w:val="0"/>
          <w:sz w:val="24"/>
        </w:rPr>
        <w:t>It is prayed that the penalty be recomputed under Section 129(1)(a) as applicable where the owner of the goods comes forward, and the differential amount collected or demanded under Section 129(1)(b) be refunded or set aside.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For and on behalf of</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Authorised Signatory / Director</w:t>
      </w:r>
    </w:p>
    <w:p>
      <w:pPr>
        <w:jc w:val="left"/>
      </w:pPr>
      <w:r>
        <w:rPr>
          <w:rFonts w:ascii="Times New Roman" w:hAnsi="Times New Roman"/>
          <w:b w:val="0"/>
          <w:i w:val="0"/>
          <w:sz w:val="24"/>
        </w:rPr>
        <w:t>Place: Mumbai</w:t>
      </w:r>
    </w:p>
    <w:p>
      <w:pPr>
        <w:jc w:val="left"/>
      </w:pPr>
      <w:r>
        <w:rPr>
          <w:rFonts w:ascii="Times New Roman" w:hAnsi="Times New Roman"/>
          <w:b w:val="0"/>
          <w:i w:val="0"/>
          <w:sz w:val="24"/>
        </w:rPr>
        <w:t>Date: [____]</w:t>
      </w:r>
    </w:p>
    <w:p>
      <w:pPr>
        <w:jc w:val="left"/>
      </w:pPr>
      <w:r>
        <w:rPr>
          <w:rFonts w:ascii="Times New Roman" w:hAnsi="Times New Roman"/>
          <w:b w:val="0"/>
          <w:i w:val="0"/>
          <w:sz w:val="24"/>
        </w:rPr>
        <w:t>Filed through [____], Authorised Representative.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