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under Section 73/74 alleging wrongful availment of transitional input tax credit in Form GSTR-3B without filing Form GST TRAN-1 under Section 140, and request to drop the demand and permit filing of TRAN-1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Reference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Authorities are marked [VERIFY] for a final check before filing. The allegation (transitional ITC under Section 140 availed in GSTR-3B without filing TRAN-1) is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alleges that the Company availed transitional input tax credit in its Form GSTR-3B without filing Form GST TRAN-1, and proposes to recover it. The credit is the Company’s accrued, eligible credit carried over from the erstwhile regime under Section 140 of the CGST Act — a vested right, not an ineligible credit. The failure to file TRAN-1 within the original window was occasioned by [the technical difficulties on the common portal / the reason to be specified], a difficulty widely recognised and remedied. The Hon’ble Supreme Court has directed the reopening of the TRAN-1 facility for all taxpayers. The substantive entitlement cannot be defeated by a procedural lapse in filing the form; the Company seeks to be permitted to file / revise TRAN-1 and to have the demand dropped.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1 July 2017, migrated from the erstwhile Central Excise / VAT regime.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transitional credit. </w:t>
      </w:r>
      <w:r>
        <w:rPr>
          <w:rFonts w:ascii="Times New Roman" w:cs="Times New Roman" w:eastAsia="Times New Roman" w:hAnsi="Times New Roman"/>
          <w:b w:val="false"/>
          <w:bCs w:val="false"/>
          <w:i w:val="false"/>
          <w:iCs w:val="false"/>
          <w:caps w:val="false"/>
          <w:sz w:val="24"/>
          <w:szCs w:val="24"/>
        </w:rPr>
        <w:t xml:space="preserve">On migration, the Company carried a balance of accrued, eligible credit under the erstwhile law, which is transitional credit under Section 140 of the CGST Act. The Company reflected this credit in its Form GSTR-3B.</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TRAN-1 lapse. </w:t>
      </w:r>
      <w:r>
        <w:rPr>
          <w:rFonts w:ascii="Times New Roman" w:cs="Times New Roman" w:eastAsia="Times New Roman" w:hAnsi="Times New Roman"/>
          <w:b w:val="false"/>
          <w:bCs w:val="false"/>
          <w:i w:val="false"/>
          <w:iCs w:val="false"/>
          <w:caps w:val="false"/>
          <w:sz w:val="24"/>
          <w:szCs w:val="24"/>
        </w:rPr>
        <w:t xml:space="preserve">The Company did not file (or could not successfully file) Form GST TRAN-1 within the original window, owing to [technical difficulties on the common portal / the reason to be specified]. The Impugned SCN alleges that the credit was therefore wrongly availed.</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Transitional credit under Section 140 is a vested right; it is not an ineligible credit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credit in question is the Company’s accrued, eligible CENVAT / VAT credit carried forward under Section 140 of the CGST Act. Credit validly earned under the erstwhile law is a vested right that the transitional provisions were enacted to preserve, not to extinguish. The credit is not ineligible; the only question is the procedural one of filing the form, which cannot defeat the substantive entitlement.</w:t>
      </w:r>
    </w:p>
    <w:p>
      <w:pPr>
        <w:pStyle w:val="Heading2"/>
        <w:spacing w:after="140" w:before="200"/>
      </w:pPr>
      <w:r>
        <w:rPr>
          <w:rFonts w:ascii="Times New Roman" w:cs="Times New Roman" w:eastAsia="Times New Roman" w:hAnsi="Times New Roman"/>
          <w:b/>
          <w:bCs/>
          <w:sz w:val="24"/>
          <w:szCs w:val="24"/>
        </w:rPr>
        <w:t xml:space="preserve">Ground 2: A procedural lapse in filing TRAN-1 cannot defeat a substantive entitlement; the facility stands reopened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failure to file TRAN-1 within the original window — occasioned by technical difficulties on the common portal — is a procedural lapse. The Hon’ble Supreme Court, in </w:t>
      </w:r>
      <w:r>
        <w:rPr>
          <w:rFonts w:ascii="Times New Roman" w:cs="Times New Roman" w:eastAsia="Times New Roman" w:hAnsi="Times New Roman"/>
          <w:b w:val="false"/>
          <w:bCs w:val="false"/>
          <w:i/>
          <w:iCs/>
          <w:caps w:val="false"/>
          <w:sz w:val="24"/>
          <w:szCs w:val="24"/>
        </w:rPr>
        <w:t xml:space="preserve">Union of India v. Filco Trade Centre Pvt. Ltd.</w:t>
      </w:r>
      <w:r>
        <w:rPr>
          <w:rFonts w:ascii="Times New Roman" w:cs="Times New Roman" w:eastAsia="Times New Roman" w:hAnsi="Times New Roman"/>
          <w:b w:val="false"/>
          <w:bCs w:val="false"/>
          <w:i w:val="false"/>
          <w:iCs w:val="false"/>
          <w:caps w:val="false"/>
          <w:sz w:val="24"/>
          <w:szCs w:val="24"/>
        </w:rPr>
        <w:t xml:space="preserve">, SLP(C) Nos. 32709-32710 of 2018, by orders dated 22.07.2022 and 02.09.2022, directed the Goods and Services Tax Network to reopen the common portal for the filing / revision of Form GST TRAN-1 and TRAN-2 for all aggrieved taxpayers for a specified window (and the High Courts had earlier consistently held that a substantive transitional entitlement cannot be denied for a procedural or technical failure to file the form in time). The Company is entitled to the benefit of the reopened facility, and the credit cannot be recovered on the footing of the missing form.</w:t>
      </w:r>
    </w:p>
    <w:p>
      <w:pPr>
        <w:pStyle w:val="Heading2"/>
        <w:spacing w:after="140" w:before="200"/>
      </w:pPr>
      <w:r>
        <w:rPr>
          <w:rFonts w:ascii="Times New Roman" w:cs="Times New Roman" w:eastAsia="Times New Roman" w:hAnsi="Times New Roman"/>
          <w:b/>
          <w:bCs/>
          <w:sz w:val="24"/>
          <w:szCs w:val="24"/>
        </w:rPr>
        <w:t xml:space="preserve">Ground 3: Section 74 is not attracted; no fraud, wilful misstatement or suppression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To the extent the SCN invokes Section 74, it is misconceived: availing one’s own accrued transitional credit, openly reflected in the return, involves no fraud, wilful misstatement or suppression. At most this is a procedural question under Section 140 and the transitional rules, attracting neither the extended period nor penalty.</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transitional credit under Section 140 is a vested right and not an ineligible credit;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the Company to file / revise Form GST TRAN-1 pursuant to the reopened facility, and HOLD that the procedural lapse cannot defeat the substantive entitlement;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demand, interest and penalty, Section 74 not being attracted;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140 of the CGST Act, 2017; Rules 117, 118, 120A of the CGST Rules, 2017; Sections 73 and 74 of the CGST Act,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Union of India v. Filco Trade Centre Pvt. Ltd., Supreme Court, SLP(C) Nos. 32709-32710 of 2018, orders dated 22.07.2022 and 02.09.2022 (directions to reopen the TRAN-1 / TRAN-2 filing window, 01.10.2022 to 30.11.2022).</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High Court authority that a substantive transitional credit cannot be denied for a procedural / technical failure to file TRAN-1 in time — to be cited from the jurisdictional High Court and reporter-verified.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Particulars of the accrued transitional credit under the erstwhile law (returns / records evidencing the closing balance).</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Evidence of the attempt to file TRAN-1 / the technical difficulty, if available.</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Copy of the Impugned SCN.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2026-06-13T08:26:21.580Z</dcterms:created>
  <dcterms:modified xsi:type="dcterms:W3CDTF">2026-06-13T08:26:21.580Z</dcterms:modified>
</cp:coreProperties>
</file>

<file path=docProps/custom.xml><?xml version="1.0" encoding="utf-8"?>
<Properties xmlns="http://schemas.openxmlformats.org/officeDocument/2006/custom-properties" xmlns:vt="http://schemas.openxmlformats.org/officeDocument/2006/docPropsVTypes"/>
</file>