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Times New Roman" w:cs="Times New Roman" w:eastAsia="Times New Roman" w:hAnsi="Times New Roman"/>
          <w:b/>
          <w:bCs/>
          <w:sz w:val="24"/>
          <w:szCs w:val="24"/>
        </w:rPr>
        <w:t xml:space="preserve">To,</w:t>
      </w:r>
    </w:p>
    <w:p>
      <w:pPr>
        <w:spacing w:after="60"/>
        <w:jc w:val="left"/>
      </w:pPr>
      <w:r>
        <w:rPr>
          <w:rFonts w:ascii="Times New Roman" w:cs="Times New Roman" w:eastAsia="Times New Roman" w:hAnsi="Times New Roman"/>
          <w:sz w:val="24"/>
          <w:szCs w:val="24"/>
        </w:rPr>
        <w:t xml:space="preserve">The Proper Officer (State Tax) / </w:t>
      </w:r>
      <w:r>
        <w:rPr>
          <w:rFonts w:ascii="Times New Roman" w:cs="Times New Roman" w:eastAsia="Times New Roman" w:hAnsi="Times New Roman"/>
          <w:b/>
          <w:bCs/>
          <w:sz w:val="24"/>
          <w:szCs w:val="24"/>
        </w:rPr>
        <w:t xml:space="preserve">[Designation]</w:t>
      </w:r>
    </w:p>
    <w:p>
      <w:pPr>
        <w:spacing w:after="60"/>
        <w:jc w:val="left"/>
      </w:pPr>
      <w:r>
        <w:rPr>
          <w:rFonts w:ascii="Times New Roman" w:cs="Times New Roman" w:eastAsia="Times New Roman" w:hAnsi="Times New Roman"/>
          <w:b/>
          <w:bCs/>
          <w:sz w:val="24"/>
          <w:szCs w:val="24"/>
        </w:rPr>
        <w:t xml:space="preserve">[Ward / Circle / Jurisdiction]</w:t>
      </w:r>
    </w:p>
    <w:p>
      <w:pPr>
        <w:spacing w:after="60"/>
        <w:jc w:val="left"/>
      </w:pPr>
      <w:r>
        <w:rPr>
          <w:rFonts w:ascii="Times New Roman" w:cs="Times New Roman" w:eastAsia="Times New Roman" w:hAnsi="Times New Roman"/>
          <w:b/>
          <w:bCs/>
          <w:sz w:val="24"/>
          <w:szCs w:val="24"/>
        </w:rPr>
        <w:t xml:space="preserve">[Office Address]</w:t>
      </w:r>
    </w:p>
    <w:p>
      <w:pPr>
        <w:spacing w:after="120"/>
      </w:pPr>
    </w:p>
    <w:p>
      <w:pPr>
        <w:spacing w:after="160" w:line="276"/>
        <w:jc w:val="both"/>
      </w:pPr>
      <w:r>
        <w:rPr>
          <w:rFonts w:ascii="Times New Roman" w:cs="Times New Roman" w:eastAsia="Times New Roman" w:hAnsi="Times New Roman"/>
          <w:b/>
          <w:bCs/>
          <w:sz w:val="24"/>
          <w:szCs w:val="24"/>
        </w:rPr>
        <w:t xml:space="preserve">Subject: </w:t>
      </w:r>
      <w:r>
        <w:rPr>
          <w:rFonts w:ascii="Times New Roman" w:cs="Times New Roman" w:eastAsia="Times New Roman" w:hAnsi="Times New Roman"/>
          <w:sz w:val="24"/>
          <w:szCs w:val="24"/>
        </w:rPr>
        <w:t xml:space="preserve">Submission for availing the Section 128A waiver after the first appeal has been rejected — eligibility under Section 128A(1)(c), an order under Section 107(11) having been passed and no order under Section 113(1) of the Tribunal having been passed — and on the closure of the statutory windows.</w:t>
      </w:r>
    </w:p>
    <w:p>
      <w:pPr>
        <w:spacing w:after="160" w:line="276"/>
        <w:jc w:val="both"/>
      </w:pPr>
      <w:r>
        <w:rPr>
          <w:rFonts w:ascii="Times New Roman" w:cs="Times New Roman" w:eastAsia="Times New Roman" w:hAnsi="Times New Roman"/>
          <w:i/>
          <w:iCs/>
          <w:sz w:val="24"/>
          <w:szCs w:val="24"/>
        </w:rPr>
        <w:t xml:space="preserve">Drafting note (to be removed before filing): </w:t>
      </w:r>
      <w:r>
        <w:rPr>
          <w:rFonts w:ascii="Times New Roman" w:cs="Times New Roman" w:eastAsia="Times New Roman" w:hAnsi="Times New Roman"/>
          <w:i/>
          <w:iCs/>
          <w:sz w:val="24"/>
          <w:szCs w:val="24"/>
        </w:rPr>
        <w:t xml:space="preserve">Submission where the first appeal under s.107 was rejected (a s.107(11) order exists) and the registered person seeks 128A at the pre-Tribunal stage. Party: M/s Noticedesk Technologies Private Limited; place of execution Mumbai. CRITICAL: an adverse appellate order does NOT disentitle 128A — category (c) covers it. Windows (payment 31 March 2025; SPL-02 30 June 2025) have closed; press only if compliant. References tagged [VERIFY].</w:t>
      </w:r>
    </w:p>
    <w:p>
      <w:pPr>
        <w:pStyle w:val="Heading1"/>
        <w:spacing w:after="140" w:before="280"/>
      </w:pPr>
      <w:r>
        <w:rPr>
          <w:rFonts w:ascii="Times New Roman" w:cs="Times New Roman" w:eastAsia="Times New Roman" w:hAnsi="Times New Roman"/>
          <w:b/>
          <w:bCs/>
          <w:sz w:val="26"/>
          <w:szCs w:val="26"/>
        </w:rPr>
        <w:t xml:space="preserve">FACTS</w:t>
      </w:r>
    </w:p>
    <w:p>
      <w:pPr>
        <w:pStyle w:val="ListParagraph"/>
        <w:numPr>
          <w:ilvl w:val="0"/>
          <w:numId w:val="2"/>
        </w:numPr>
        <w:spacing w:after="160" w:line="276"/>
        <w:jc w:val="both"/>
      </w:pPr>
      <w:r>
        <w:rPr>
          <w:rFonts w:ascii="Times New Roman" w:cs="Times New Roman" w:eastAsia="Times New Roman" w:hAnsi="Times New Roman"/>
          <w:sz w:val="24"/>
          <w:szCs w:val="24"/>
        </w:rPr>
        <w:t xml:space="preserve">Against the order of the proper officer dated </w:t>
      </w:r>
      <w:r>
        <w:rPr>
          <w:rFonts w:ascii="Times New Roman" w:cs="Times New Roman" w:eastAsia="Times New Roman" w:hAnsi="Times New Roman"/>
          <w:b/>
          <w:bCs/>
          <w:sz w:val="24"/>
          <w:szCs w:val="24"/>
        </w:rPr>
        <w:t xml:space="preserve">[____]</w:t>
      </w:r>
      <w:r>
        <w:rPr>
          <w:rFonts w:ascii="Times New Roman" w:cs="Times New Roman" w:eastAsia="Times New Roman" w:hAnsi="Times New Roman"/>
          <w:sz w:val="24"/>
          <w:szCs w:val="24"/>
        </w:rPr>
        <w:t xml:space="preserve"> (demand under Section 73 for FY </w:t>
      </w:r>
      <w:r>
        <w:rPr>
          <w:rFonts w:ascii="Times New Roman" w:cs="Times New Roman" w:eastAsia="Times New Roman" w:hAnsi="Times New Roman"/>
          <w:b/>
          <w:bCs/>
          <w:sz w:val="24"/>
          <w:szCs w:val="24"/>
        </w:rPr>
        <w:t xml:space="preserve">[____]</w:t>
      </w:r>
      <w:r>
        <w:rPr>
          <w:rFonts w:ascii="Times New Roman" w:cs="Times New Roman" w:eastAsia="Times New Roman" w:hAnsi="Times New Roman"/>
          <w:sz w:val="24"/>
          <w:szCs w:val="24"/>
        </w:rPr>
        <w:t xml:space="preserve">), the registered person filed an appeal in FORM GST APL-01 on </w:t>
      </w:r>
      <w:r>
        <w:rPr>
          <w:rFonts w:ascii="Times New Roman" w:cs="Times New Roman" w:eastAsia="Times New Roman" w:hAnsi="Times New Roman"/>
          <w:b/>
          <w:bCs/>
          <w:sz w:val="24"/>
          <w:szCs w:val="24"/>
        </w:rPr>
        <w:t xml:space="preserve">[____]</w:t>
      </w:r>
      <w:r>
        <w:rPr>
          <w:rFonts w:ascii="Times New Roman" w:cs="Times New Roman" w:eastAsia="Times New Roman" w:hAnsi="Times New Roman"/>
          <w:sz w:val="24"/>
          <w:szCs w:val="24"/>
        </w:rPr>
        <w:t xml:space="preserve">; the Learned Appellate Authority rejected the appeal by order under Section 107(11) dated </w:t>
      </w:r>
      <w:r>
        <w:rPr>
          <w:rFonts w:ascii="Times New Roman" w:cs="Times New Roman" w:eastAsia="Times New Roman" w:hAnsi="Times New Roman"/>
          <w:b/>
          <w:bCs/>
          <w:sz w:val="24"/>
          <w:szCs w:val="24"/>
        </w:rPr>
        <w:t xml:space="preserve">[____]</w:t>
      </w:r>
      <w:r>
        <w:rPr>
          <w:rFonts w:ascii="Times New Roman" w:cs="Times New Roman" w:eastAsia="Times New Roman" w:hAnsi="Times New Roman"/>
          <w:sz w:val="24"/>
          <w:szCs w:val="24"/>
        </w:rPr>
        <w:t xml:space="preserve">. No appeal to the Tribunal under Section 112, and no order under Section 113(1), has followed.</w:t>
      </w:r>
    </w:p>
    <w:p>
      <w:pPr>
        <w:pStyle w:val="Heading1"/>
        <w:spacing w:after="140" w:before="280"/>
      </w:pPr>
      <w:r>
        <w:rPr>
          <w:rFonts w:ascii="Times New Roman" w:cs="Times New Roman" w:eastAsia="Times New Roman" w:hAnsi="Times New Roman"/>
          <w:b/>
          <w:bCs/>
          <w:sz w:val="26"/>
          <w:szCs w:val="26"/>
        </w:rPr>
        <w:t xml:space="preserve">ELIGIBILITY AND PROCEDURE</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Section 128A(1)(c) makes the waiver of interest and penalty available where an order has been passed under Section 107(11) (or Section 108(1)) and no order under Section 113(1) has been passed. An adverse first-appellate order therefore does not disentitle the registered person; the waiver remains available at the stage after the first appeal and before the Tribunal. The demand pertaining to FY 2017-18 to 2019-20 and being under Section 73, the matter is within the scheme.</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The procedure (Rule 164; CBIC Circular No. 238/32/2024-GST dated 15 October 2024</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 required the registered person to pay the full tax (against the demand as it stands after the appellate order), to withdraw any appeal to the Tribunal and any writ petition and furnish proof, and to file the application in FORM GST SPL-02; acceptance after appeal is issued in FORM GST SPL-06.</w:t>
      </w:r>
    </w:p>
    <w:p>
      <w:pPr>
        <w:pStyle w:val="Heading1"/>
        <w:spacing w:after="140" w:before="280"/>
      </w:pPr>
      <w:r>
        <w:rPr>
          <w:rFonts w:ascii="Times New Roman" w:cs="Times New Roman" w:eastAsia="Times New Roman" w:hAnsi="Times New Roman"/>
          <w:b/>
          <w:bCs/>
          <w:sz w:val="26"/>
          <w:szCs w:val="26"/>
        </w:rPr>
        <w:t xml:space="preserve">THE WINDOWS HAVE CLOSED</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The waiver was conditional on payment of the full tax by 31 March 2025 (Notification No. 21/2024-Central Tax dated 8 October 2024</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 and on the SPL-02 application being filed by 30 June 2025 (Rule 164(6)); those cut-offs have passed and were not extended. Accordingly, the waiver may be given effect only where the registered person met those windows; otherwise the appellate order stands and the remedy is an appeal to the Tribunal under Section 112 within the time now notified.</w:t>
      </w:r>
    </w:p>
    <w:p>
      <w:pPr>
        <w:spacing w:after="160" w:line="276"/>
        <w:jc w:val="both"/>
      </w:pPr>
      <w:r>
        <w:rPr>
          <w:rFonts w:ascii="Times New Roman" w:cs="Times New Roman" w:eastAsia="Times New Roman" w:hAnsi="Times New Roman"/>
          <w:b/>
          <w:bCs/>
          <w:i/>
          <w:iCs/>
          <w:sz w:val="24"/>
          <w:szCs w:val="24"/>
        </w:rPr>
        <w:t xml:space="preserve">Note on the Section 128A waiver (for the record): </w:t>
      </w:r>
      <w:r>
        <w:rPr>
          <w:rFonts w:ascii="Times New Roman" w:cs="Times New Roman" w:eastAsia="Times New Roman" w:hAnsi="Times New Roman"/>
          <w:i/>
          <w:iCs/>
          <w:sz w:val="24"/>
          <w:szCs w:val="24"/>
        </w:rPr>
        <w:t xml:space="preserve">this demand pertains to a financial year (FY 2017-18, 2018-19 or 2019-20) for which Section 128A offered a waiver of interest and penalty on payment of the tax, subject to payment by 31 March 2025 and application (FORM GST SPL-01/SPL-02) by 30 June 2025. Those statutory cut-offs having passed, the 128A route is no longer available; the matter is therefore contested on merits. The note is retained only to record that the amnesty option was considered and has lapsed.</w:t>
      </w:r>
    </w:p>
    <w:p>
      <w:pPr>
        <w:pStyle w:val="Heading1"/>
        <w:spacing w:after="140" w:before="280"/>
      </w:pPr>
      <w:r>
        <w:rPr>
          <w:rFonts w:ascii="Times New Roman" w:cs="Times New Roman" w:eastAsia="Times New Roman" w:hAnsi="Times New Roman"/>
          <w:b/>
          <w:bCs/>
          <w:sz w:val="26"/>
          <w:szCs w:val="26"/>
        </w:rPr>
        <w:t xml:space="preserve">REQUEST</w:t>
      </w:r>
    </w:p>
    <w:p>
      <w:pPr>
        <w:spacing w:after="160" w:line="276"/>
        <w:jc w:val="both"/>
      </w:pPr>
      <w:r>
        <w:rPr>
          <w:rFonts w:ascii="Times New Roman" w:cs="Times New Roman" w:eastAsia="Times New Roman" w:hAnsi="Times New Roman"/>
          <w:sz w:val="24"/>
          <w:szCs w:val="24"/>
        </w:rPr>
        <w:t xml:space="preserve">It is requested that, the Section 128A conditions having been met within the statutory windows, the proceedings be concluded and acceptance issued in FORM GST SPL-06; failing which, the position be noted. A personal hearing is requested before any rejection.</w:t>
      </w:r>
    </w:p>
    <w:p>
      <w:pPr>
        <w:spacing w:after="60" w:before="240"/>
      </w:pPr>
      <w:r>
        <w:rPr>
          <w:rFonts w:ascii="Times New Roman" w:cs="Times New Roman" w:eastAsia="Times New Roman" w:hAnsi="Times New Roman"/>
          <w:sz w:val="24"/>
          <w:szCs w:val="24"/>
        </w:rPr>
        <w:t xml:space="preserve">Yours faithfully,</w:t>
      </w:r>
    </w:p>
    <w:p>
      <w:r>
        <w:rPr>
          <w:rFonts w:ascii="Times New Roman" w:cs="Times New Roman" w:eastAsia="Times New Roman" w:hAnsi="Times New Roman"/>
          <w:sz w:val="24"/>
          <w:szCs w:val="24"/>
        </w:rPr>
        <w:t xml:space="preserve">For and on behalf of</w:t>
      </w:r>
    </w:p>
    <w:p>
      <w:r>
        <w:rPr>
          <w:rFonts w:ascii="Times New Roman" w:cs="Times New Roman" w:eastAsia="Times New Roman" w:hAnsi="Times New Roman"/>
          <w:b/>
          <w:bCs/>
          <w:sz w:val="24"/>
          <w:szCs w:val="24"/>
        </w:rPr>
        <w:t xml:space="preserve">M/s Noticedesk Technologies Private Limited</w:t>
      </w:r>
    </w:p>
    <w:p>
      <w:pPr>
        <w:spacing w:before="200"/>
      </w:pPr>
      <w:r>
        <w:rPr>
          <w:rFonts w:ascii="Times New Roman" w:cs="Times New Roman" w:eastAsia="Times New Roman" w:hAnsi="Times New Roman"/>
          <w:sz w:val="24"/>
          <w:szCs w:val="24"/>
        </w:rPr>
        <w:t xml:space="preserve">_______________________________</w:t>
      </w:r>
    </w:p>
    <w:p>
      <w:r>
        <w:rPr>
          <w:rFonts w:ascii="Times New Roman" w:cs="Times New Roman" w:eastAsia="Times New Roman" w:hAnsi="Times New Roman"/>
          <w:b/>
          <w:bCs/>
          <w:sz w:val="24"/>
          <w:szCs w:val="24"/>
        </w:rPr>
        <w:t xml:space="preserve">Authorised Signatory / Director</w:t>
      </w:r>
    </w:p>
    <w:p>
      <w:pPr>
        <w:spacing w:before="120"/>
      </w:pPr>
      <w:r>
        <w:rPr>
          <w:rFonts w:ascii="Times New Roman" w:cs="Times New Roman" w:eastAsia="Times New Roman" w:hAnsi="Times New Roman"/>
          <w:sz w:val="24"/>
          <w:szCs w:val="24"/>
        </w:rPr>
        <w:t xml:space="preserve">Place: Mumbai</w:t>
      </w:r>
    </w:p>
    <w:p>
      <w:r>
        <w:rPr>
          <w:rFonts w:ascii="Times New Roman" w:cs="Times New Roman" w:eastAsia="Times New Roman" w:hAnsi="Times New Roman"/>
          <w:sz w:val="24"/>
          <w:szCs w:val="24"/>
        </w:rPr>
        <w:t xml:space="preserve">Date: [____]</w:t>
      </w:r>
    </w:p>
    <w:p>
      <w:pPr>
        <w:spacing w:before="120"/>
      </w:pPr>
      <w:r>
        <w:rPr>
          <w:rFonts w:ascii="Times New Roman" w:cs="Times New Roman" w:eastAsia="Times New Roman" w:hAnsi="Times New Roman"/>
          <w:i/>
          <w:iCs/>
          <w:sz w:val="24"/>
          <w:szCs w:val="24"/>
        </w:rPr>
        <w:t xml:space="preserve">Filed through [____], Authorised Representative.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720"/>
      </w:pPr>
      <w:rPr>
        <w:b/>
        <w:bCs/>
      </w:rPr>
    </w:lvl>
  </w:abstractNum>
  <w:abstractNum w:abstractNumId="4" w15:restartNumberingAfterBreak="0">
    <w:multiLevelType w:val="hybridMultilevel"/>
    <w:lvl w:ilvl="0" w15:tentative="1">
      <w:start w:val="1"/>
      <w:numFmt w:val="decimal"/>
      <w:lvlText w:val="%1."/>
      <w:lvlJc w:val="left"/>
      <w:pPr>
        <w:ind w:left="720" w:hanging="720"/>
      </w:pPr>
      <w:rPr>
        <w:b/>
        <w:bCs/>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2026-06-13T08:13:12.978Z</dcterms:created>
  <dcterms:modified xsi:type="dcterms:W3CDTF">2026-06-13T08:13:12.978Z</dcterms:modified>
</cp:coreProperties>
</file>

<file path=docProps/custom.xml><?xml version="1.0" encoding="utf-8"?>
<Properties xmlns="http://schemas.openxmlformats.org/officeDocument/2006/custom-properties" xmlns:vt="http://schemas.openxmlformats.org/officeDocument/2006/docPropsVTypes"/>
</file>