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Reply objecting to recovery proceedings initiated against a director personally under Section 89 in the absence of a finding of gross neglect, misfeasance or breach of duty</w:t>
      </w:r>
    </w:p>
    <w:p>
      <w:pPr>
        <w:jc w:val="left"/>
      </w:pPr>
      <w:r>
        <w:rPr>
          <w:rFonts w:ascii="Times New Roman" w:hAnsi="Times New Roman"/>
          <w:b w:val="0"/>
          <w:i/>
          <w:sz w:val="24"/>
        </w:rPr>
        <w:t>Drafting note (to be removed before filing): Place of execution Mumbai; confirm whether any specific finding of gross neglect/misfeasance/breach of duty attributable to the director has been recorded in the underlying order, as opposed to a bare invocation of Section 89 based on directorship alone.</w:t>
      </w:r>
    </w:p>
    <w:p>
      <w:pPr>
        <w:jc w:val="left"/>
      </w:pPr>
      <w:r>
        <w:rPr>
          <w:rFonts w:ascii="Times New Roman" w:hAnsi="Times New Roman"/>
          <w:b/>
          <w:i w:val="0"/>
          <w:sz w:val="24"/>
        </w:rPr>
        <w:t>SYNOPSIS</w:t>
      </w:r>
    </w:p>
    <w:p>
      <w:pPr>
        <w:jc w:val="both"/>
      </w:pPr>
      <w:r>
        <w:rPr>
          <w:rFonts w:ascii="Times New Roman" w:hAnsi="Times New Roman"/>
          <w:b w:val="0"/>
          <w:i w:val="0"/>
          <w:sz w:val="24"/>
        </w:rPr>
        <w:t>Recovery of tax dues of the company has been sought to be effected against a director in personal capacity by invoking Section 89, without any finding that the non-recovery is attributable to gross neglect, misfeasance or breach of duty on the part of that director in relation to the affairs of the company.</w:t>
      </w:r>
    </w:p>
    <w:p>
      <w:pPr>
        <w:jc w:val="left"/>
      </w:pPr>
      <w:r>
        <w:rPr>
          <w:rFonts w:ascii="Times New Roman" w:hAnsi="Times New Roman"/>
          <w:b/>
          <w:i w:val="0"/>
          <w:sz w:val="24"/>
        </w:rPr>
        <w:t>FACTUAL BACKGROUND</w:t>
      </w:r>
    </w:p>
    <w:p>
      <w:pPr>
        <w:jc w:val="both"/>
      </w:pPr>
      <w:r>
        <w:rPr>
          <w:rFonts w:ascii="Times New Roman" w:hAnsi="Times New Roman"/>
          <w:b w:val="0"/>
          <w:i w:val="0"/>
          <w:sz w:val="24"/>
        </w:rPr>
        <w:t>The company failed to discharge a confirmed demand within the time allowed; recovery has thereafter been initiated against the director personally, treating the director as jointly and severally liable under Section 89.</w:t>
      </w:r>
    </w:p>
    <w:p>
      <w:pPr>
        <w:jc w:val="both"/>
      </w:pPr>
      <w:r>
        <w:rPr>
          <w:rFonts w:ascii="Times New Roman" w:hAnsi="Times New Roman"/>
          <w:b w:val="0"/>
          <w:i w:val="0"/>
          <w:sz w:val="24"/>
        </w:rPr>
        <w:t>The recovery notice does not record any finding attributing the non-recovery to gross neglect, misfeasance or breach of duty on the part of the director; it proceeds solely on the fact of directorship during the relevant period.</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Section 89(1) fastens joint and several liability on a director only where the non-recovery of tax dues from the private company 'can be attributed to any gross neglect, misfeasance or breach of duty on the part of the director' in relation to the affairs of the company; directorship simpliciter is not the test.</w:t>
      </w:r>
    </w:p>
    <w:p>
      <w:pPr>
        <w:ind w:left="360"/>
        <w:jc w:val="both"/>
      </w:pPr>
      <w:r>
        <w:rPr>
          <w:rFonts w:ascii="Times New Roman" w:hAnsi="Times New Roman"/>
          <w:b w:val="0"/>
          <w:i w:val="0"/>
          <w:sz w:val="24"/>
        </w:rPr>
        <w:t>2. In the absence of any material or finding establishing such gross neglect, misfeasance or breach of duty, invocation of Section 89 against the director is without jurisdiction and premature; the burden of establishing the necessary attribution lies on the Department in the first instance.</w:t>
      </w:r>
    </w:p>
    <w:p>
      <w:pPr>
        <w:ind w:left="360"/>
        <w:jc w:val="both"/>
      </w:pPr>
      <w:r>
        <w:rPr>
          <w:rFonts w:ascii="Times New Roman" w:hAnsi="Times New Roman"/>
          <w:b w:val="0"/>
          <w:i w:val="0"/>
          <w:sz w:val="24"/>
        </w:rPr>
        <w:t>3. Recovery proceedings against the company itself, including realisation from its assets, have not been shown to be exhausted or found infructuous, which is ordinarily a relevant consideration before recourse is had to the personal liability of a director.</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recovery proceedings initiated against the director personally under Section 89 be withdrawn or kept in abeyance in the absence of a recorded finding of gross neglect, misfeasance or breach of duty attributable to the director.</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