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Proper Officer / State Tax Officer (Mobile Squad / Enforcement)</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Range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detention notice in Form GST MOV-06 and the Show Cause Notice in Form GST MOV-07 under Section 129(3), issued on the ground that the distance shown in the e-way bill is wrong / the e-way bill expired on account of distance, and request for release of the goods and the conveyance — MOV-07 No. [____]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circular and case authority is marked [VERIFY] for a final check before filing. The route (Rajasthan to Gujarat), the documents carried (tax invoice, e-way bill under Rule 138), and the ground of detention (wrong distance / expiry of the e-way bill on account of distance)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goods and the conveyance were detained, and a notice in Form GST MOV-07 under Section 129(3) issued, on the ground that the distance entered in the e-way bill was wrong, or that the e-way bill had expired on account of the distance. The movement was covered by a valid tax invoice and a valid e-way bill generated under Rule 138; the only complaint is as to the distance / validity, a minor and technical matter unaccompanied by any intent to evade. Such a discrepancy falls within the Board’s own circular on minor errors and does not warrant proceedings under Section 129. The goods and the conveyance are liable to be released.</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consignment.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moved goods [name] under Tax Invoice No. [____] dated [____], value Rs. [____] plus tax, from Rajasthan to Gujarat through M/s [____] Transport (LR No. [____]), conveyance No.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documents carried. </w:t>
      </w:r>
      <w:r>
        <w:rPr>
          <w:rFonts w:ascii="Times New Roman" w:cs="Times New Roman" w:eastAsia="Times New Roman" w:hAnsi="Times New Roman"/>
          <w:b w:val="false"/>
          <w:bCs w:val="false"/>
          <w:i w:val="false"/>
          <w:iCs w:val="false"/>
          <w:caps w:val="false"/>
          <w:sz w:val="24"/>
          <w:szCs w:val="24"/>
        </w:rPr>
        <w:t xml:space="preserve">The movement was accompanied by the tax invoice and e-way bill No. [____] dated [____], generated under Rule 138. All documents required for the movement were present and in order.</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detention. </w:t>
      </w:r>
      <w:r>
        <w:rPr>
          <w:rFonts w:ascii="Times New Roman" w:cs="Times New Roman" w:eastAsia="Times New Roman" w:hAnsi="Times New Roman"/>
          <w:b w:val="false"/>
          <w:bCs w:val="false"/>
          <w:i w:val="false"/>
          <w:iCs w:val="false"/>
          <w:caps w:val="false"/>
          <w:sz w:val="24"/>
          <w:szCs w:val="24"/>
        </w:rPr>
        <w:t xml:space="preserve">The goods and conveyance were detained and Form GST MOV-06 / MOV-07 issued under Section 129(3), the ground being that the distance in the e-way bill was wrong / the e-way bill had expired on account of distance.</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An error in the distance, or expiry of the e-way bill, is a minor / technical discrepancy not warranting Section 129 — Circular No. 64/38/2018-GST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Board, by Circular No. 64/38/2018-GST dated 14.09.2018 [VERIFY], clarified that where a consignment is accompanied by an invoice and an e-way bill, proceedings under Section 129 may not be initiated for specified minor discrepancies, only a nominal penalty applying. An error in the distance (with the consequential effect on the e-way bill’s validity) is of the same minor and technical character; the genuineness of the consignment, the invoice and the e-way bill is not in doubt. Proceedings under Section 129 ought not to have been initiated, and at most a nominal penalty under Section 125 applies.</w:t>
      </w:r>
    </w:p>
    <w:p>
      <w:pPr>
        <w:pStyle w:val="Heading2"/>
        <w:spacing w:after="140" w:before="200"/>
      </w:pPr>
      <w:r>
        <w:rPr>
          <w:rFonts w:ascii="Times New Roman" w:cs="Times New Roman" w:eastAsia="Times New Roman" w:hAnsi="Times New Roman"/>
          <w:b/>
          <w:bCs/>
          <w:sz w:val="24"/>
          <w:szCs w:val="24"/>
        </w:rPr>
        <w:t xml:space="preserve">Ground 2: A short / technical expiry without intent to evade does not justify detention or penalty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Where an e-way bill has expired by a short margin (whether owing to a distance miscalculation, a transit delay, a breakdown or a diversion), and there is no material to show any attempt to recycle the document or to evade tax, detention and penalty under Section 129 are not warranted. The detention and penalty machinery is directed at evasion. Reliance is placed on </w:t>
      </w:r>
      <w:r>
        <w:rPr>
          <w:rFonts w:ascii="Times New Roman" w:cs="Times New Roman" w:eastAsia="Times New Roman" w:hAnsi="Times New Roman"/>
          <w:b w:val="false"/>
          <w:bCs w:val="false"/>
          <w:i/>
          <w:iCs/>
          <w:caps w:val="false"/>
          <w:sz w:val="24"/>
          <w:szCs w:val="24"/>
        </w:rPr>
        <w:t xml:space="preserve">Assistant Commissioner (ST) v. Satyam Shivam Papers Pvt. Ltd.</w:t>
      </w:r>
      <w:r>
        <w:rPr>
          <w:rFonts w:ascii="Times New Roman" w:cs="Times New Roman" w:eastAsia="Times New Roman" w:hAnsi="Times New Roman"/>
          <w:b w:val="false"/>
          <w:bCs w:val="false"/>
          <w:i w:val="false"/>
          <w:iCs w:val="false"/>
          <w:caps w:val="false"/>
          <w:sz w:val="24"/>
          <w:szCs w:val="24"/>
        </w:rPr>
        <w:t xml:space="preserve">, 2022 (1) TMI 954 (SC) / [2022] 134 taxmann.com 241 / (2022) 14 SCC 157 (SLP(C) No. 21132 of 2021, order dated 12.01.2022, affirming Telangana HC in W.P. No. 9688 of 2020, dated 02.06.2021) [VERIFY] (detention impermissible absent intent to evade), and on the line of High Court authority setting aside detention for the expiry of an e-way bill where there was no intent to evade. [VERIFY]</w:t>
      </w:r>
    </w:p>
    <w:p>
      <w:pPr>
        <w:pStyle w:val="Heading2"/>
        <w:spacing w:after="140" w:before="200"/>
      </w:pPr>
      <w:r>
        <w:rPr>
          <w:rFonts w:ascii="Times New Roman" w:cs="Times New Roman" w:eastAsia="Times New Roman" w:hAnsi="Times New Roman"/>
          <w:b/>
          <w:bCs/>
          <w:sz w:val="24"/>
          <w:szCs w:val="24"/>
        </w:rPr>
        <w:t xml:space="preserve">Ground 3: Release of the goods and the conveyance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goods and the conveyance ought to be released forthwith. At most, a general penalty under Section 125 may apply; the levy of tax and penalty under Section 129 is not warranted. The Company is willing, under protest, to furnish such security as the law permits to secure immediate release.</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RELEASE the goods and the conveyance (No. [____]) forthwith;</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in terms of Circular No. 64/38/2018-GST, that an error in the distance / expiry of the e-way bill is a minor discrepancy not warranting proceedings under Section 129;</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no intent to evade tax is made out;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proceeding under Form GST MOV-07 / Section 129(3), at most a nominal penalty under Section 125 applying;</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125, 129 of the CGST Act, 2017; Rule 138 of the CGST Rules, 2017; Forms GST MOV-06 and MOV-07.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Circular No. 64/38/2018-GST dated 14.09.2018.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Assistant Commissioner (ST) v. Satyam Shivam Papers Pvt. Ltd., Supreme Court, 2022 (1) TMI 954 (SC) / (2022) 14 SCC 157, SLP(C) No. 21132 of 2021, order dated 12.01.2022 (affirming Telangana HC, W.P. No. 9688 of 2020, dated 02.06.2021).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High Court authority setting aside detention for expiry of an e-way bill absent intent to evade — to be cited from the jurisdictional High Court and reporter-verified. [VERIFY]</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2026-06-13T08:26:21.905Z</dcterms:created>
  <dcterms:modified xsi:type="dcterms:W3CDTF">2026-06-13T08:26:21.905Z</dcterms:modified>
</cp:coreProperties>
</file>

<file path=docProps/custom.xml><?xml version="1.0" encoding="utf-8"?>
<Properties xmlns="http://schemas.openxmlformats.org/officeDocument/2006/custom-properties" xmlns:vt="http://schemas.openxmlformats.org/officeDocument/2006/docPropsVTypes"/>
</file>