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Proper Officer / State Tax Officer (Mobile Squad / Enforcement)</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Range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detention notice in Form GST MOV-06 and the Show Cause Notice in Form GST MOV-07 under Section 129(3), issued on the ground that the classification of the goods is not proper / correct, and request for release of the goods and the conveyance — MOV-07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ground of detention (‘classification is not proper / correct’, with a demand of tax and equal penalty) and the documents carried (proper invoice and e-way bill describing the goods) are reproduced from the source. The extract from J.K. Synthetics is reproduced as relied upon.</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were detained, and a notice in Form GST MOV-07 under Section 129(3) issued, on the sole ground that the classification of the goods adopted by the Company is ‘not proper / correct’. The detention is without jurisdiction. The movement was covered by a proper tax invoice and e-way bill clearly describing the goods; a </w:t>
      </w:r>
      <w:r>
        <w:rPr>
          <w:rFonts w:ascii="Times New Roman" w:cs="Times New Roman" w:eastAsia="Times New Roman" w:hAnsi="Times New Roman"/>
          <w:b/>
          <w:bCs/>
          <w:i w:val="false"/>
          <w:iCs w:val="false"/>
          <w:caps w:val="false"/>
          <w:sz w:val="24"/>
          <w:szCs w:val="24"/>
        </w:rPr>
        <w:t xml:space="preserve">classification dispute</w:t>
      </w:r>
      <w:r>
        <w:rPr>
          <w:rFonts w:ascii="Times New Roman" w:cs="Times New Roman" w:eastAsia="Times New Roman" w:hAnsi="Times New Roman"/>
          <w:b w:val="false"/>
          <w:bCs w:val="false"/>
          <w:i w:val="false"/>
          <w:iCs w:val="false"/>
          <w:caps w:val="false"/>
          <w:sz w:val="24"/>
          <w:szCs w:val="24"/>
        </w:rPr>
        <w:t xml:space="preserve"> — a bona fide difference of opinion on the applicable HSN / rate — is a matter for adjudication and assessment, not a ground for detaining goods in transit. Where the registered person has paid the tax on the basis of the classification adopted by him in good faith, there is no evasion; the goods and the conveyance are liable to be released.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consignment.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moved goods purchased from M/s [____] under a proper Tax Invoice and e-way bill No. [____] dated [____], clearly describing the goods.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detention. </w:t>
      </w:r>
      <w:r>
        <w:rPr>
          <w:rFonts w:ascii="Times New Roman" w:cs="Times New Roman" w:eastAsia="Times New Roman" w:hAnsi="Times New Roman"/>
          <w:b w:val="false"/>
          <w:bCs w:val="false"/>
          <w:i w:val="false"/>
          <w:iCs w:val="false"/>
          <w:caps w:val="false"/>
          <w:sz w:val="24"/>
          <w:szCs w:val="24"/>
        </w:rPr>
        <w:t xml:space="preserve">The goods were detained by Form GST MOV-06, and a notice in Form GST MOV-07 issued, on the ground that the ‘classification is not proper / correct’, calling upon the Company to show cause why tax and an equal penalty of Rs. [____] should not be recovered.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No evasion. </w:t>
      </w:r>
      <w:r>
        <w:rPr>
          <w:rFonts w:ascii="Times New Roman" w:cs="Times New Roman" w:eastAsia="Times New Roman" w:hAnsi="Times New Roman"/>
          <w:b w:val="false"/>
          <w:bCs w:val="false"/>
          <w:i w:val="false"/>
          <w:iCs w:val="false"/>
          <w:caps w:val="false"/>
          <w:sz w:val="24"/>
          <w:szCs w:val="24"/>
        </w:rPr>
        <w:t xml:space="preserve">The documents were generated and were available at the time of movement; the goods were correctly described; and the Company adopted its classification in good faith. There was no intent to evade tax.</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A classification dispute is for assessment, not for detention under Section 129</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129 applies to goods transported in contravention of the Act or the rules — that is, to the integrity of the movement, the cover of a valid invoice and e-way bill. The correctness of the classification (and the consequent rate of tax) is a substantive question of assessment, to be determined by the jurisdictional officer after due process, and not by a detaining officer at the roadside. A bona fide classification dispute is not a contravention of the rules governing the movement of goods, and cannot found a detention.</w:t>
      </w:r>
    </w:p>
    <w:p>
      <w:pPr>
        <w:pStyle w:val="Heading2"/>
        <w:spacing w:after="140" w:before="200"/>
      </w:pPr>
      <w:r>
        <w:rPr>
          <w:rFonts w:ascii="Times New Roman" w:cs="Times New Roman" w:eastAsia="Times New Roman" w:hAnsi="Times New Roman"/>
          <w:b/>
          <w:bCs/>
          <w:sz w:val="24"/>
          <w:szCs w:val="24"/>
        </w:rPr>
        <w:t xml:space="preserve">Ground 2: Where tax is paid on the classification adopted in good faith, there is no default — J.K. Synthetics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Where an assessee pays the tax due on the basis of the information furnished in his return and the classification he has adopted in good faith, he cannot be said to have failed to meet his statutory obligation, even if the classification is later found to be incorrect. Reliance is placed on </w:t>
      </w:r>
      <w:r>
        <w:rPr>
          <w:rFonts w:ascii="Times New Roman" w:cs="Times New Roman" w:eastAsia="Times New Roman" w:hAnsi="Times New Roman"/>
          <w:b w:val="false"/>
          <w:bCs w:val="false"/>
          <w:i/>
          <w:iCs/>
          <w:caps w:val="false"/>
          <w:sz w:val="24"/>
          <w:szCs w:val="24"/>
        </w:rPr>
        <w:t xml:space="preserve">J.K. Synthetics Ltd. v. Commercial Taxes Officer</w:t>
      </w:r>
      <w:r>
        <w:rPr>
          <w:rFonts w:ascii="Times New Roman" w:cs="Times New Roman" w:eastAsia="Times New Roman" w:hAnsi="Times New Roman"/>
          <w:b w:val="false"/>
          <w:bCs w:val="false"/>
          <w:i w:val="false"/>
          <w:iCs w:val="false"/>
          <w:caps w:val="false"/>
          <w:sz w:val="24"/>
          <w:szCs w:val="24"/>
        </w:rPr>
        <w:t xml:space="preserve">, (1994) 4 SCC 276 / 1994 SCC OnLine SC 1108 [VERIFY], the relevant principle being:</w:t>
      </w:r>
    </w:p>
    <w:p>
      <w:pPr>
        <w:spacing w:after="140" w:line="264"/>
        <w:ind w:left="720" w:right="360"/>
        <w:jc w:val="both"/>
      </w:pPr>
      <w:r>
        <w:rPr>
          <w:rFonts w:ascii="Times New Roman" w:cs="Times New Roman" w:eastAsia="Times New Roman" w:hAnsi="Times New Roman"/>
          <w:i/>
          <w:iCs/>
          <w:sz w:val="22"/>
          <w:szCs w:val="22"/>
        </w:rPr>
        <w:t xml:space="preserve">If the assessee pays the tax which according to him is due based on the information supplied in his return, there would be no default on his part to meet his statutory obligation. Therefore, it would be difficult to hold that the ‘tax payable’ by him ‘is not paid’ and that he is liable for the consequences.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 bona fide classification adopted in the return, on which tax has been paid, therefore does not expose the goods to detention or to a penalty premised on evasion.</w:t>
      </w:r>
    </w:p>
    <w:p>
      <w:pPr>
        <w:pStyle w:val="Heading2"/>
        <w:spacing w:after="140" w:before="200"/>
      </w:pPr>
      <w:r>
        <w:rPr>
          <w:rFonts w:ascii="Times New Roman" w:cs="Times New Roman" w:eastAsia="Times New Roman" w:hAnsi="Times New Roman"/>
          <w:b/>
          <w:bCs/>
          <w:sz w:val="24"/>
          <w:szCs w:val="24"/>
        </w:rPr>
        <w:t xml:space="preserve">Ground 3: No intent to evade; the documents were genuine and complete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were accompanied by a proper invoice and e-way bill, correctly describing them; nothing was concealed. Consistently with </w:t>
      </w:r>
      <w:r>
        <w:rPr>
          <w:rFonts w:ascii="Times New Roman" w:cs="Times New Roman" w:eastAsia="Times New Roman" w:hAnsi="Times New Roman"/>
          <w:b w:val="false"/>
          <w:bCs w:val="false"/>
          <w:i/>
          <w:iCs/>
          <w:caps w:val="false"/>
          <w:sz w:val="24"/>
          <w:szCs w:val="24"/>
        </w:rPr>
        <w:t xml:space="preserve">Assistant Commissioner (ST) v. Satyam Shivam Papers Pvt. Ltd.</w:t>
      </w:r>
      <w:r>
        <w:rPr>
          <w:rFonts w:ascii="Times New Roman" w:cs="Times New Roman" w:eastAsia="Times New Roman" w:hAnsi="Times New Roman"/>
          <w:b w:val="false"/>
          <w:bCs w:val="false"/>
          <w:i w:val="false"/>
          <w:iCs w:val="false"/>
          <w:caps w:val="false"/>
          <w:sz w:val="24"/>
          <w:szCs w:val="24"/>
        </w:rPr>
        <w:t xml:space="preserve">, 2022 (1) TMI 954 (SC) / (2022) 14 SCC 157 [VERIFY], detention is impermissible absent a finding of intent to evade tax, which is wholly absent here.</w:t>
      </w:r>
    </w:p>
    <w:p>
      <w:pPr>
        <w:pStyle w:val="Heading2"/>
        <w:spacing w:after="140" w:before="200"/>
      </w:pPr>
      <w:r>
        <w:rPr>
          <w:rFonts w:ascii="Times New Roman" w:cs="Times New Roman" w:eastAsia="Times New Roman" w:hAnsi="Times New Roman"/>
          <w:b/>
          <w:bCs/>
          <w:sz w:val="24"/>
          <w:szCs w:val="24"/>
        </w:rPr>
        <w:t xml:space="preserve">Ground 4: Release of the goods and the conveyance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ought to be released forthwith. If the Department is of the view that a higher classification / rate applies, the remedy is to refer the question to the jurisdictional officer for assessment, not to continue the detention. The Company is willing, under protest, to furnish such security as the law permits to secure immediate release.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goods and the conveyance (No. [____]) forthwith;</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a classification dispute is a matter for assessment and not a ground for detention under Section 129;</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tax having been paid on the classification adopted in good faith, there is no default and no intent to evade;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proceeding under Form GST MOV-07 / Section 129(3) and refrain from any demand of tax or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15, 129 of the CGST Act, 2017; Rule 138 of the CGST Rules, 2017; Forms GST MOV-06 and MOV-07.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J.K. Synthetics Ltd. v. Commercial Taxes Officer, Supreme Court, (1994) 4 SCC 276.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Assistant Commissioner (ST) v. Satyam Shivam Papers Pvt. Ltd., Supreme Court, 2022 (1) TMI 954 (SC) / (2022) 14 SCC 157, SLP(C) No. 21132 of 2021, order dated 12.01.2022.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High Court authority that goods cannot be detained under Section 129 on a bona fide classification dispute — to be cited from the jurisdictional High Court and reporter-verified.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2026-06-13T08:26:21.946Z</dcterms:created>
  <dcterms:modified xsi:type="dcterms:W3CDTF">2026-06-13T08:26:21.946Z</dcterms:modified>
</cp:coreProperties>
</file>

<file path=docProps/custom.xml><?xml version="1.0" encoding="utf-8"?>
<Properties xmlns="http://schemas.openxmlformats.org/officeDocument/2006/custom-properties" xmlns:vt="http://schemas.openxmlformats.org/officeDocument/2006/docPropsVTypes"/>
</file>