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in Form GST DRC-01 alleging wrongful availment and utilisation of input tax credit in contravention of the time limit in Section 16(4) of the CGST Act, 2017, the demand not surviving the retrospective Section 16(5) inserted by the Finance (No. 2) Act, 2024 — DRC-01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in Form GST DRC-01, Reference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amendment, circular, notification and case authority is marked [VERIFY] for a final check before filing. The allegation (ITC availed beyond the Section 16(4) time limit), the text of Section 16(4) and its proviso, and the reference to the three amendments and the Budget 2024 notification,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proposes to deny and recover input tax credit on the ground that it was availed after the time limit in Section 16(4). The demand no longer survives. Section 16(5), inserted by the Finance (No. 2) Act, 2024 with retrospective effect from 1 July 2017, provides that, notwithstanding Section 16(4), input tax credit for invoices or debit notes pertaining to FY 2017-18, 2018-19, 2019-20 and 2020-21 is allowed if availed in any return in Form GSTR-3B filed up to 30 November 2021. The Company’s credit, having been availed within that extended window, is now allowed by the statute itself; the Section 16(4) demand falls away. The Board’s Circular No. 237/31/2024-GST gives effect to this relief, including for orders already passed, and a special rectification procedure has been notified.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credit in issue. </w:t>
      </w:r>
      <w:r>
        <w:rPr>
          <w:rFonts w:ascii="Times New Roman" w:cs="Times New Roman" w:eastAsia="Times New Roman" w:hAnsi="Times New Roman"/>
          <w:b w:val="false"/>
          <w:bCs w:val="false"/>
          <w:i w:val="false"/>
          <w:iCs w:val="false"/>
          <w:caps w:val="false"/>
          <w:sz w:val="24"/>
          <w:szCs w:val="24"/>
        </w:rPr>
        <w:t xml:space="preserve">The disputed input tax credit pertains to FY [2017-18 / 2018-19 / 2019-20 / 2020-21] and was availed in the Company’s Form GSTR-3B filed on [____] — that is, on or before 30 November 2021.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SCN, the Department alleges that the credit was availed beyond the time limit in Section 16(4) and proposes its reversal with interest and penalty.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FY [____]</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ITC availed in GSTR-3B (return filed on or before 30.11.2021)</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GSTR-3B; Electronic Credit Ledger</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Scrutiny / ASMT-10 / DRC-01A, as applicable</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ASMT-10 / DRC-01A</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under Section 16(4)</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DRC-01, Reference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w:t>
            </w:r>
          </w:p>
        </w:tc>
      </w:tr>
    </w:tbl>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DENIES that any credit is liable to reversal.</w:t>
      </w:r>
    </w:p>
    <w:p>
      <w:pPr>
        <w:pStyle w:val="Heading2"/>
        <w:spacing w:after="140" w:before="200"/>
      </w:pPr>
      <w:r>
        <w:rPr>
          <w:rFonts w:ascii="Times New Roman" w:cs="Times New Roman" w:eastAsia="Times New Roman" w:hAnsi="Times New Roman"/>
          <w:b/>
          <w:bCs/>
          <w:sz w:val="24"/>
          <w:szCs w:val="24"/>
        </w:rPr>
        <w:t xml:space="preserve">Ground 1: The demand does not survive the retrospective Section 16(5)</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16(5), inserted by the Finance (No. 2) Act, 2024 with retrospective effect from 1 July 2017 [VERIFY], reads in substance:</w:t>
      </w:r>
    </w:p>
    <w:p>
      <w:pPr>
        <w:spacing w:after="140" w:line="264"/>
        <w:ind w:left="720" w:right="360"/>
        <w:jc w:val="both"/>
      </w:pPr>
      <w:r>
        <w:rPr>
          <w:rFonts w:ascii="Times New Roman" w:cs="Times New Roman" w:eastAsia="Times New Roman" w:hAnsi="Times New Roman"/>
          <w:i/>
          <w:iCs/>
          <w:sz w:val="22"/>
          <w:szCs w:val="22"/>
        </w:rPr>
        <w:t xml:space="preserve">(5) Notwithstanding anything contained in sub-section (4), in respect of an invoice or debit note for supply of goods or services or both pertaining to the Financial Years 2017-18, 2018-19, 2019-20 and 2020-21, the registered person shall be entitled to take input tax credit in any return under section 39 which is filed up to the thirtieth day of November, 2021.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disputed credit pertains to a financial year within FY 2017-18 to 2020-21 and was availed in a Form GSTR-3B filed on or before 30 November 2021. By the express, non-obstante operation of Section 16(5), the credit is allowed notwithstanding Section 16(4). The very foundation of the Impugned SCN — that the credit is barred by Section 16(4) — has therefore been removed by Parliament with retrospective effect, and the demand cannot be sustained.</w:t>
      </w:r>
    </w:p>
    <w:p>
      <w:pPr>
        <w:pStyle w:val="Heading2"/>
        <w:spacing w:after="140" w:before="200"/>
      </w:pPr>
      <w:r>
        <w:rPr>
          <w:rFonts w:ascii="Times New Roman" w:cs="Times New Roman" w:eastAsia="Times New Roman" w:hAnsi="Times New Roman"/>
          <w:b/>
          <w:bCs/>
          <w:sz w:val="24"/>
          <w:szCs w:val="24"/>
        </w:rPr>
        <w:t xml:space="preserve">Ground 2: The Board’s circular and the notified procedure require the relief to be given effect, including for matters in progress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 by Circular No. 237/31/2024-GST dated 15.10.2024 [VERIFY], has clarified the implementation of Sections 16(5) and 16(6) and directed that the benefit be extended in pending proceedings, appeals and even concluded matters, providing for the withdrawal / dropping of demands to the extent covered. Where an order has already been passed confirming a Section 16(4) demand, a special rectification procedure has been notified by Notification No. 22/2024-Central Tax dated 08.10.2024 [VERIFY] (application within six months). The Company is entitled to have the present proceeding dropped to the extent the credit is covered by Section 16(5); to the extent any order has issued, the Company will additionally pursue the rectification route.</w:t>
      </w:r>
    </w:p>
    <w:p>
      <w:pPr>
        <w:pStyle w:val="Heading2"/>
        <w:spacing w:after="140" w:before="200"/>
      </w:pPr>
      <w:r>
        <w:rPr>
          <w:rFonts w:ascii="Times New Roman" w:cs="Times New Roman" w:eastAsia="Times New Roman" w:hAnsi="Times New Roman"/>
          <w:b/>
          <w:bCs/>
          <w:sz w:val="24"/>
          <w:szCs w:val="24"/>
        </w:rPr>
        <w:t xml:space="preserve">Ground 3: The history of Section 16(4) and its proviso supports the Company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16(4) has been amended more than once since July 2017 — including the special proviso for FY 2017-18 (extending the time, for invoices uploaded by the supplier, up to the due date for the March 2019 return), and the substitution (by the Finance Act, 2022, w.e.f. 01.10.2022 vide Notification No. 18/2022-Central Tax [VERIFY]) of ‘30th day of November following the end of the financial year’ for the earlier reference to the September return. Read with these amendments, and now decisively with Section 16(5), the Company’s availment is within time.</w:t>
      </w:r>
    </w:p>
    <w:p>
      <w:pPr>
        <w:pStyle w:val="Heading2"/>
        <w:spacing w:after="140" w:before="200"/>
      </w:pPr>
      <w:r>
        <w:rPr>
          <w:rFonts w:ascii="Times New Roman" w:cs="Times New Roman" w:eastAsia="Times New Roman" w:hAnsi="Times New Roman"/>
          <w:b/>
          <w:bCs/>
          <w:sz w:val="24"/>
          <w:szCs w:val="24"/>
        </w:rPr>
        <w:t xml:space="preserve">Ground 4 (without prejudice): No interest where credit not utilised; no penalty absent intent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[VERIFY], interest being chargeable only on credit availed and utilised. Penalty cannot attach absent fraud, wilful misstatement or suppression; a question of the timing of availment, now resolved in the Company’s favour by Section 16(5), discloses no intent to evade.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disputed input tax credit is allowed by Section 16(5) of the CGST Act (notwithstanding Section 16(4)), the credit pertaining to FY 2017-18 to 2020-21 and having been availed in a return filed on or before 30 November 2021;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demand, interest and penalty proposed under the Impugned SCN, in terms of Section 16(5) read with Circular No. 237/31/2024-GST;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without prejudice, that no interest arises on unutilised credit and that no penalty is exigible;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 16(4), 16(5), 16(6), 50 of the CGST Act, 2017; Rule 88B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16(5) and 16(6) inserted by the Finance (No. 2) Act, 2024 (w.r.e.f. 01.07.2017).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237/31/2024-GST dated 15.10.2024 (implementation of Sections 16(5)/16(6); relief in pending and concluded matters).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Notification No. 22/2024-Central Tax dated 08.10.2024 (special rectification procedure for orders confirming Section 16(4) demands).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16(4) proviso for FY 2017-18; substitution of ‘30th November’ by the Finance Act, 2022 (Notification No. 18/2022-Central Tax, w.e.f. 01.10.2022).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Particulars of the disputed credit (FY, invoice/debit note, and the GSTR-3B and date of filing) establishing availment on or before 30 November 2021.</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SCN.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Rectification application under Notification No. 22/2024-Central Tax, if applicable.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2026-06-13T08:26:22.158Z</dcterms:created>
  <dcterms:modified xsi:type="dcterms:W3CDTF">2026-06-13T08:26:22.158Z</dcterms:modified>
</cp:coreProperties>
</file>

<file path=docProps/custom.xml><?xml version="1.0" encoding="utf-8"?>
<Properties xmlns="http://schemas.openxmlformats.org/officeDocument/2006/custom-properties" xmlns:vt="http://schemas.openxmlformats.org/officeDocument/2006/docPropsVTypes"/>
</file>