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Proper Officer / State Tax Officer (Mobile Squad / Enforcement)</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Range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detention notice in Form GST MOV-06 and the Show Cause Notice in Form GST MOV-07 under Section 129(3), issued on the ground that the goods were found heading to a ‘wrong destination’, and request for release of the goods and the conveyance — MOV-07 No.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is marked [VERIFY] for a final check before filing. The ground of detention (‘wrong destination noticed’) and the explanation (the goods were sent directly to the ultimate recipient to save duplicate transport and time)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goods and the conveyance were detained, and a notice in Form GST MOV-07 under Section 129(3) issued, on the ground that the conveyance was found heading to a ‘wrong destination’ — that is, to a place other than the billed address. There is no dispute as to the tax invoice or the e-way bill, both of which accompanied the goods. The goods were being delivered directly to the ultimate recipient (a ‘bill-to / ship-to’ or onward-sale situation) to save the time and cost of routing them first through the Company’s premises. A difference between the billed address and the actual delivery point, with valid documents and no diversion for clandestine sale, betrays no intent to evade tax and does not warrant detention under Section 129. The goods and the conveyance are liable to be released.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consignment.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moved goods under Tax Invoice No. [____] dated [____] and e-way bill No. [____] dated [____] (conveyance No. [____]). [State the buyer and the ultimate recipient, and the bill-to / ship-to arrangement.]</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documents carried. </w:t>
      </w:r>
      <w:r>
        <w:rPr>
          <w:rFonts w:ascii="Times New Roman" w:cs="Times New Roman" w:eastAsia="Times New Roman" w:hAnsi="Times New Roman"/>
          <w:b w:val="false"/>
          <w:bCs w:val="false"/>
          <w:i w:val="false"/>
          <w:iCs w:val="false"/>
          <w:caps w:val="false"/>
          <w:sz w:val="24"/>
          <w:szCs w:val="24"/>
        </w:rPr>
        <w:t xml:space="preserve">There is no dispute about the tax invoice or the e-way bill, both of which were generated under the Act and accompanied the movement.</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explanation. </w:t>
      </w:r>
      <w:r>
        <w:rPr>
          <w:rFonts w:ascii="Times New Roman" w:cs="Times New Roman" w:eastAsia="Times New Roman" w:hAnsi="Times New Roman"/>
          <w:b w:val="false"/>
          <w:bCs w:val="false"/>
          <w:i w:val="false"/>
          <w:iCs w:val="false"/>
          <w:caps w:val="false"/>
          <w:sz w:val="24"/>
          <w:szCs w:val="24"/>
        </w:rPr>
        <w:t xml:space="preserve">To save the duplicate transport and time that would be incurred in moving the goods first to the Company’s / buyer’s location and then onward to the ultimate recipient, the driver was directed to deliver the goods directly to the ultimate recipient. The ‘wrong destination’ noticed is, in truth, the direct delivery point.</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detention. </w:t>
      </w:r>
      <w:r>
        <w:rPr>
          <w:rFonts w:ascii="Times New Roman" w:cs="Times New Roman" w:eastAsia="Times New Roman" w:hAnsi="Times New Roman"/>
          <w:b w:val="false"/>
          <w:bCs w:val="false"/>
          <w:i w:val="false"/>
          <w:iCs w:val="false"/>
          <w:caps w:val="false"/>
          <w:sz w:val="24"/>
          <w:szCs w:val="24"/>
        </w:rPr>
        <w:t xml:space="preserve">The goods were detained (Form GST MOV-06) and a notice in Form GST MOV-07 issued under Section 129(3), the sole ground being ‘wrong destination noticed’.</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A direct delivery to the ultimate recipient, on valid documents, is not a contravention warranting Section 129</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129 is attracted by a contravention of the provisions governing the movement of goods. Here the goods moved under a valid invoice and e-way bill; the only feature relied upon is that the conveyance was heading to the ultimate recipient rather than to the billed address. Delivering goods directly to the ultimate recipient — a routine commercial practice, expressly contemplated by the ‘bill-to / ship-to’ mechanism — is not a contravention, still less one evincing evasion. The destination point does not alter the tax already charged on the supply.</w:t>
      </w:r>
    </w:p>
    <w:p>
      <w:pPr>
        <w:pStyle w:val="Heading2"/>
        <w:spacing w:after="140" w:before="200"/>
      </w:pPr>
      <w:r>
        <w:rPr>
          <w:rFonts w:ascii="Times New Roman" w:cs="Times New Roman" w:eastAsia="Times New Roman" w:hAnsi="Times New Roman"/>
          <w:b/>
          <w:bCs/>
          <w:sz w:val="24"/>
          <w:szCs w:val="24"/>
        </w:rPr>
        <w:t xml:space="preserve">Ground 2: There is no intent to evade tax — the touchstone of Section 129</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Detention and penalty under Section 129 are directed at evasion. The Company’s object was to save duplicate freight and time, not to evade tax; the documents were complete and genuine, and the tax stood charged. Reliance is placed on </w:t>
      </w:r>
      <w:r>
        <w:rPr>
          <w:rFonts w:ascii="Times New Roman" w:cs="Times New Roman" w:eastAsia="Times New Roman" w:hAnsi="Times New Roman"/>
          <w:b w:val="false"/>
          <w:bCs w:val="false"/>
          <w:i/>
          <w:iCs/>
          <w:caps w:val="false"/>
          <w:sz w:val="24"/>
          <w:szCs w:val="24"/>
        </w:rPr>
        <w:t xml:space="preserve">Assistant Commissioner (ST) v. Satyam Shivam Papers Pvt. Ltd.</w:t>
      </w:r>
      <w:r>
        <w:rPr>
          <w:rFonts w:ascii="Times New Roman" w:cs="Times New Roman" w:eastAsia="Times New Roman" w:hAnsi="Times New Roman"/>
          <w:b w:val="false"/>
          <w:bCs w:val="false"/>
          <w:i w:val="false"/>
          <w:iCs w:val="false"/>
          <w:caps w:val="false"/>
          <w:sz w:val="24"/>
          <w:szCs w:val="24"/>
        </w:rPr>
        <w:t xml:space="preserve">, 2022 (1) TMI 954 (SC) / (2022) 14 SCC 157 (SLP(C) No. 21132 of 2021, order dated 12.01.2022, affirming Telangana HC in W.P. No. 9688 of 2020, dated 02.06.2021) [VERIFY], where the Hon’ble Supreme Court held that, absent intent to evade tax, detention and penalty under Section 129 are not warranted. The burden of establishing such intent lies on the Department and is not discharged by the mere fact of a different delivery point.</w:t>
      </w:r>
    </w:p>
    <w:p>
      <w:pPr>
        <w:pStyle w:val="Heading2"/>
        <w:spacing w:after="140" w:before="200"/>
      </w:pPr>
      <w:r>
        <w:rPr>
          <w:rFonts w:ascii="Times New Roman" w:cs="Times New Roman" w:eastAsia="Times New Roman" w:hAnsi="Times New Roman"/>
          <w:b/>
          <w:bCs/>
          <w:sz w:val="24"/>
          <w:szCs w:val="24"/>
        </w:rPr>
        <w:t xml:space="preserve">Ground 3: Release of the goods and the conveyance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goods and the conveyance ought to be released forthwith. If any short payment of tax is alleged on the underlying supply (which is denied), that is a matter for assessment, not for detention. The Company is willing, under protest, to furnish such security as the law permits to secure immediate release.</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RELEASE the goods and the conveyance (No. [____]) forthwith;</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direct delivery to the ultimate recipient on valid documents is not a contravention warranting Section 129;</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no intent to evade tax is made out;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proceeding under Form GST MOV-07 / Section 129(3) and refrain from any demand of tax or penalty;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10, 16, 129 of the CGST Act, 2017; Rule 138 of the CGST Rules, 2017 (including the bill-to / ship-to mechanism); Forms GST MOV-06 and MOV-07.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Assistant Commissioner (ST) v. Satyam Shivam Papers Pvt. Ltd., Supreme Court, 2022 (1) TMI 954 (SC) / (2022) 14 SCC 157, SLP(C) No. 21132 of 2021, order dated 12.01.2022 (affirming Telangana HC, W.P. No. 9688 of 2020, dated 02.06.2021).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High Court authority that detention under Section 129 is not warranted for a different delivery point / wrong destination absent intent to evade — to be cited from the jurisdictional High Court and reporter-verified.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2026-06-13T08:26:22.200Z</dcterms:created>
  <dcterms:modified xsi:type="dcterms:W3CDTF">2026-06-13T08:26:22.200Z</dcterms:modified>
</cp:coreProperties>
</file>

<file path=docProps/custom.xml><?xml version="1.0" encoding="utf-8"?>
<Properties xmlns="http://schemas.openxmlformats.org/officeDocument/2006/custom-properties" xmlns:vt="http://schemas.openxmlformats.org/officeDocument/2006/docPropsVTypes"/>
</file>