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notice / Show Cause Notice under Section 16(2)(c) proposing reversal of input tax credit with interest and penalty on the ground that the supplier did not deposit the tax / did not file its GSTR-3B, the Company being a bona fide recipient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circular and press release is marked [VERIFY] for a final check before filing. The allegation (supplier’s non-deposit of tax / non-filing of GSTR-3B, the credit being reflected in the Company’s ITC ledger and GSTR-2A) and the text of Section 16(2)(c)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proposes to reverse the Company’s input tax credit, with interest and penalty, under Section 16(2)(c), on the ground that the Company’s supplier did not deposit the tax or did not file its GSTR-3B. The Company is a </w:t>
      </w:r>
      <w:r>
        <w:rPr>
          <w:rFonts w:ascii="Times New Roman" w:cs="Times New Roman" w:eastAsia="Times New Roman" w:hAnsi="Times New Roman"/>
          <w:b/>
          <w:bCs/>
          <w:i w:val="false"/>
          <w:iCs w:val="false"/>
          <w:caps w:val="false"/>
          <w:sz w:val="24"/>
          <w:szCs w:val="24"/>
        </w:rPr>
        <w:t xml:space="preserve">bona fide recipient</w:t>
      </w:r>
      <w:r>
        <w:rPr>
          <w:rFonts w:ascii="Times New Roman" w:cs="Times New Roman" w:eastAsia="Times New Roman" w:hAnsi="Times New Roman"/>
          <w:b w:val="false"/>
          <w:bCs w:val="false"/>
          <w:i w:val="false"/>
          <w:iCs w:val="false"/>
          <w:caps w:val="false"/>
          <w:sz w:val="24"/>
          <w:szCs w:val="24"/>
        </w:rPr>
        <w:t xml:space="preserve">: it holds valid tax invoices, received the supplies, and paid its suppliers including tax through banking channels; the credit was duly reflected in its electronic credit ledger and in GSTR-2A. A bona fide recipient who has done everything within its control cannot be denied credit, and visited with interest and penalty, for the supplier’s default. Recovery must first be made from the defaulting supplier; the Department has other statutory avenues to recover from the supplier. The proposed reversal is unsustainable.</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availed credit on inward supplies from M/s [____] on the strength of valid tax invoices, after receipt of the supplies and payment to the supplier including tax through banking channels.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credit. </w:t>
      </w:r>
      <w:r>
        <w:rPr>
          <w:rFonts w:ascii="Times New Roman" w:cs="Times New Roman" w:eastAsia="Times New Roman" w:hAnsi="Times New Roman"/>
          <w:b w:val="false"/>
          <w:bCs w:val="false"/>
          <w:i w:val="false"/>
          <w:iCs w:val="false"/>
          <w:caps w:val="false"/>
          <w:sz w:val="24"/>
          <w:szCs w:val="24"/>
        </w:rPr>
        <w:t xml:space="preserve">The credit was reflected in the Company’s electronic credit ledger and in its GSTR-2A. The Company satisfied each condition of Section 16(2) within its control at the time of availment.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By the Impugned SCN, the Department alleges that the supplier did not deposit the tax / did not file its GSTR-3B, and proposes reversal of the credit with interest and penalty under Section 16(2)(c).</w:t>
      </w:r>
    </w:p>
    <w:p>
      <w:pPr>
        <w:pStyle w:val="Heading1"/>
        <w:spacing w:after="160" w:before="260"/>
      </w:pPr>
      <w:r>
        <w:rPr>
          <w:rFonts w:ascii="Times New Roman" w:cs="Times New Roman" w:eastAsia="Times New Roman" w:hAnsi="Times New Roman"/>
          <w:b/>
          <w:bCs/>
          <w:caps/>
          <w:sz w:val="26"/>
          <w:szCs w:val="26"/>
        </w:rPr>
        <w:t xml:space="preserve">Grounds / Submissions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The Company DENIES that the credit is liable to reversal.</w:t>
      </w:r>
    </w:p>
    <w:p>
      <w:pPr>
        <w:pStyle w:val="Heading2"/>
        <w:spacing w:after="140" w:before="200"/>
      </w:pPr>
      <w:r>
        <w:rPr>
          <w:rFonts w:ascii="Times New Roman" w:cs="Times New Roman" w:eastAsia="Times New Roman" w:hAnsi="Times New Roman"/>
          <w:b/>
          <w:bCs/>
          <w:sz w:val="24"/>
          <w:szCs w:val="24"/>
        </w:rPr>
        <w:t xml:space="preserve">Ground 1: A bona fide recipient who has paid the supplier cannot be denied credit for the supplier’s default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has discharged every obligation within its control under Section 16(2): it holds a valid tax invoice, has received the goods/services, has paid the supplier the price together with tax, and has furnished its return. Whether the supplier thereafter remitted the tax is a matter beyond the recipient’s knowledge or control. To deny the bona fide recipient its credit for the supplier’s default is to punish the innocent for the wrong of another. The administrative position is to the same effect: the 27th GST Council recorded, by Press Release dated 04.05.2018 [VERIFY], that there shall be no automatic reversal of the buyer’s credit on the seller’s non-payment, recovery being made from the seller, with reversal from the buyer reserved for exceptional situations such as a missing dealer or closure of business.</w:t>
      </w:r>
    </w:p>
    <w:p>
      <w:pPr>
        <w:pStyle w:val="Heading2"/>
        <w:spacing w:after="140" w:before="200"/>
      </w:pPr>
      <w:r>
        <w:rPr>
          <w:rFonts w:ascii="Times New Roman" w:cs="Times New Roman" w:eastAsia="Times New Roman" w:hAnsi="Times New Roman"/>
          <w:b/>
          <w:bCs/>
          <w:sz w:val="24"/>
          <w:szCs w:val="24"/>
        </w:rPr>
        <w:t xml:space="preserve">Ground 2: Recovery must first be made from the defaulting supplier; other statutory avenues exist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scheme of the Act does not permit the Department to bypass the defaulting supplier and proceed against a paying recipient. There are ample statutory avenues to recover the tax from the defaulting supplier — assessment and demand under Sections 73/74, recovery under Section 79, and recovery as an arrears of land revenue — before any question of reversing the recipient’s credit can arise. Reliance is placed on </w:t>
      </w:r>
      <w:r>
        <w:rPr>
          <w:rFonts w:ascii="Times New Roman" w:cs="Times New Roman" w:eastAsia="Times New Roman" w:hAnsi="Times New Roman"/>
          <w:b w:val="false"/>
          <w:bCs w:val="false"/>
          <w:i/>
          <w:iCs/>
          <w:caps w:val="false"/>
          <w:sz w:val="24"/>
          <w:szCs w:val="24"/>
        </w:rPr>
        <w:t xml:space="preserve">Suncraft Energy Pvt. Ltd. v. Assistant Commissioner, State Tax</w:t>
      </w:r>
      <w:r>
        <w:rPr>
          <w:rFonts w:ascii="Times New Roman" w:cs="Times New Roman" w:eastAsia="Times New Roman" w:hAnsi="Times New Roman"/>
          <w:b w:val="false"/>
          <w:bCs w:val="false"/>
          <w:i w:val="false"/>
          <w:iCs w:val="false"/>
          <w:caps w:val="false"/>
          <w:sz w:val="24"/>
          <w:szCs w:val="24"/>
        </w:rPr>
        <w:t xml:space="preserve">, Calcutta HC, MAT 1218 of 2023, dated 02.08.2023 (SLP(C) Nos. 27827-27828 of 2023, dismissed by the Supreme Court on 14.12.2023, expressly on the low tax effect [VERIFY], the dismissal being on the quantum being low and not a merits affirmation), holding that credit is not to be reversed from a bona fide recipient without first inquiring into and proceeding against the defaulting supplier; </w:t>
      </w:r>
      <w:r>
        <w:rPr>
          <w:rFonts w:ascii="Times New Roman" w:cs="Times New Roman" w:eastAsia="Times New Roman" w:hAnsi="Times New Roman"/>
          <w:b w:val="false"/>
          <w:bCs w:val="false"/>
          <w:i/>
          <w:iCs/>
          <w:caps w:val="false"/>
          <w:sz w:val="24"/>
          <w:szCs w:val="24"/>
        </w:rPr>
        <w:t xml:space="preserve">D.Y. Beathel Enterprises v. State Tax Officer</w:t>
      </w:r>
      <w:r>
        <w:rPr>
          <w:rFonts w:ascii="Times New Roman" w:cs="Times New Roman" w:eastAsia="Times New Roman" w:hAnsi="Times New Roman"/>
          <w:b w:val="false"/>
          <w:bCs w:val="false"/>
          <w:i w:val="false"/>
          <w:iCs w:val="false"/>
          <w:caps w:val="false"/>
          <w:sz w:val="24"/>
          <w:szCs w:val="24"/>
        </w:rPr>
        <w:t xml:space="preserve">, Madras HC, W.P.(MD) Nos. 2127 of 2021 (batch), dated 24.02.2021 [VERIFY] (where tax was collected from the recipient, recovery must first be directed against the seller, who ought to be examined); and </w:t>
      </w:r>
      <w:r>
        <w:rPr>
          <w:rFonts w:ascii="Times New Roman" w:cs="Times New Roman" w:eastAsia="Times New Roman" w:hAnsi="Times New Roman"/>
          <w:b w:val="false"/>
          <w:bCs w:val="false"/>
          <w:i/>
          <w:iCs/>
          <w:caps w:val="false"/>
          <w:sz w:val="24"/>
          <w:szCs w:val="24"/>
        </w:rPr>
        <w:t xml:space="preserve">Diya Agencies v. State Tax Officer</w:t>
      </w:r>
      <w:r>
        <w:rPr>
          <w:rFonts w:ascii="Times New Roman" w:cs="Times New Roman" w:eastAsia="Times New Roman" w:hAnsi="Times New Roman"/>
          <w:b w:val="false"/>
          <w:bCs w:val="false"/>
          <w:i w:val="false"/>
          <w:iCs w:val="false"/>
          <w:caps w:val="false"/>
          <w:sz w:val="24"/>
          <w:szCs w:val="24"/>
        </w:rPr>
        <w:t xml:space="preserve">, Kerala HC, 2023:KER:55318 [VERIFY] (credit not to be denied merely because not reflected at the supplier’s end, the recipient’s evidence of genuine payment to be examined).</w:t>
      </w:r>
    </w:p>
    <w:p>
      <w:pPr>
        <w:pStyle w:val="Heading2"/>
        <w:spacing w:after="140" w:before="200"/>
      </w:pPr>
      <w:r>
        <w:rPr>
          <w:rFonts w:ascii="Times New Roman" w:cs="Times New Roman" w:eastAsia="Times New Roman" w:hAnsi="Times New Roman"/>
          <w:b/>
          <w:bCs/>
          <w:sz w:val="24"/>
          <w:szCs w:val="24"/>
        </w:rPr>
        <w:t xml:space="preserve">Ground 3: The adverse line is distinguishable; the Company has discharged its burden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is conscious of the contrary line — </w:t>
      </w:r>
      <w:r>
        <w:rPr>
          <w:rFonts w:ascii="Times New Roman" w:cs="Times New Roman" w:eastAsia="Times New Roman" w:hAnsi="Times New Roman"/>
          <w:b w:val="false"/>
          <w:bCs w:val="false"/>
          <w:i/>
          <w:iCs/>
          <w:caps w:val="false"/>
          <w:sz w:val="24"/>
          <w:szCs w:val="24"/>
        </w:rPr>
        <w:t xml:space="preserve">State of Karnataka v. Ecom Gill Coffee Trading Pvt. Ltd.</w:t>
      </w:r>
      <w:r>
        <w:rPr>
          <w:rFonts w:ascii="Times New Roman" w:cs="Times New Roman" w:eastAsia="Times New Roman" w:hAnsi="Times New Roman"/>
          <w:b w:val="false"/>
          <w:bCs w:val="false"/>
          <w:i w:val="false"/>
          <w:iCs w:val="false"/>
          <w:caps w:val="false"/>
          <w:sz w:val="24"/>
          <w:szCs w:val="24"/>
        </w:rPr>
        <w:t xml:space="preserve">, Supreme Court, Civil Appeal No. 230 of 2023, dated 13.03.2023 [VERIFY], and </w:t>
      </w:r>
      <w:r>
        <w:rPr>
          <w:rFonts w:ascii="Times New Roman" w:cs="Times New Roman" w:eastAsia="Times New Roman" w:hAnsi="Times New Roman"/>
          <w:b w:val="false"/>
          <w:bCs w:val="false"/>
          <w:i/>
          <w:iCs/>
          <w:caps w:val="false"/>
          <w:sz w:val="24"/>
          <w:szCs w:val="24"/>
        </w:rPr>
        <w:t xml:space="preserve">Aastha Enterprises v. State of Bihar</w:t>
      </w:r>
      <w:r>
        <w:rPr>
          <w:rFonts w:ascii="Times New Roman" w:cs="Times New Roman" w:eastAsia="Times New Roman" w:hAnsi="Times New Roman"/>
          <w:b w:val="false"/>
          <w:bCs w:val="false"/>
          <w:i w:val="false"/>
          <w:iCs w:val="false"/>
          <w:caps w:val="false"/>
          <w:sz w:val="24"/>
          <w:szCs w:val="24"/>
        </w:rPr>
        <w:t xml:space="preserve">, Patna HC, CWJC No. 10395 of 2023, dated 18.08.2023 — which place the burden of proving the genuineness of the transaction on the recipient and deny credit where the supplier has not remitted. These are distinguishable: Ecom Gill arose under the VAT regime on the question of the burden of proof, and both turn on the recipient failing to prove genuineness. Here the Company produces the full documentary trail — tax invoices, proof of receipt, and payment through banking channels — discharging its burden under Section 155, and there is no allegation of collusion; the Department has not first proceeded against the supplier.</w:t>
      </w:r>
    </w:p>
    <w:p>
      <w:pPr>
        <w:pStyle w:val="Heading2"/>
        <w:spacing w:after="140" w:before="200"/>
      </w:pPr>
      <w:r>
        <w:rPr>
          <w:rFonts w:ascii="Times New Roman" w:cs="Times New Roman" w:eastAsia="Times New Roman" w:hAnsi="Times New Roman"/>
          <w:b/>
          <w:bCs/>
          <w:sz w:val="24"/>
          <w:szCs w:val="24"/>
        </w:rPr>
        <w:t xml:space="preserve">Ground 4 (without prejudice): No interest where credit not utilised; no penalty absent intent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extent any disputed credit was not utilised, no interest arises under Section 50(3) read with Rule 88B(3) [VERIFY]. Penalty cannot attach absent fraud, wilful misstatement or suppression on the Company’s part; a supplier’s default, of which the Company was unaware, discloses no intent to evade on the Company’s part.</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the Company a bona fide recipient that has satisfied the conditions of Section 16(2) within its control, and that its credit cannot be reversed for the supplier’s default;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recovery, if any, must first be made from the defaulting supplier through the statutory avenues available;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proposed reversal of credit, interest and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16(2)(c), 41, 50, 73, 74, 79, 155 of the CGST Act, 2017; Rule 88B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Press Release dated 04.05.2018 (27th GST Council meeting — no automatic reversal; recovery from seller first).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Suncraft Energy Pvt. Ltd. v. Assistant Commissioner, State Tax, Calcutta HC, MAT 1218 of 2023, 02.08.2023; SLP(C) 27827-27828/2023 dismissed by SC on 14.12.2023 (expressly on low tax effect, not merits).</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D.Y. Beathel Enterprises v. State Tax Officer, Madras HC, W.P.(MD) Nos. 2127 of 2021 (batch), 24.02.2021.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Diya Agencies v. State Tax Officer, Kerala HC, 2023:KER:55318.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Adverse, distinguished: State of Karnataka v. Ecom Gill Coffee Trading Pvt. Ltd., SC, Civil Appeal No. 230 of 2023, 13.03.2023 (under the KVAT Act); Aastha Enterprises v. State of Bihar, Patna HC, CWJC 10395/2023, 18.08.2023.</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Tax invoices of the supplier for the disputed supplies.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Proof of receipt of the supplies and of payment to the supplier including tax through banking channels.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Extract of the electronic credit ledger and GSTR-2A reflecting the credit.</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4 — Copy of the Impugned SCN.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2026-06-13T08:26:22.235Z</dcterms:created>
  <dcterms:modified xsi:type="dcterms:W3CDTF">2026-06-13T08:26:22.235Z</dcterms:modified>
</cp:coreProperties>
</file>

<file path=docProps/custom.xml><?xml version="1.0" encoding="utf-8"?>
<Properties xmlns="http://schemas.openxmlformats.org/officeDocument/2006/custom-properties" xmlns:vt="http://schemas.openxmlformats.org/officeDocument/2006/docPropsVTypes"/>
</file>