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Proper Officer / State Tax Officer (Mobile Squad / Enforcement)</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Range / Jurisdiction]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detention notice in Form GST MOV-06 and the Show Cause Notice in Form GST MOV-07 under Section 129, issued on the ground that the e-way bill had expired during the movement of goods, the expiry being occasioned by a breakdown of the vehicle, and request for release of the goods and the conveyance — MOV-07 No. [____] dated [____].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The case authority is marked [VERIFY] for a final check before filing. The facts (interception during movement; expiry of the e-way bill; a vehicle breakdown with a repair invoice) and the extract from the Satyam Shivam Papers order are reproduced from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were detained, and a notice in Form GST MOV-07 under Section 129 issued, on the ground that the e-way bill had expired during the movement of the goods. The expiry was occasioned by a </w:t>
      </w:r>
      <w:r>
        <w:rPr>
          <w:rFonts w:ascii="Times New Roman" w:cs="Times New Roman" w:eastAsia="Times New Roman" w:hAnsi="Times New Roman"/>
          <w:b/>
          <w:bCs/>
          <w:i w:val="false"/>
          <w:iCs w:val="false"/>
          <w:caps w:val="false"/>
          <w:sz w:val="24"/>
          <w:szCs w:val="24"/>
        </w:rPr>
        <w:t xml:space="preserve">breakdown of the vehicle</w:t>
      </w:r>
      <w:r>
        <w:rPr>
          <w:rFonts w:ascii="Times New Roman" w:cs="Times New Roman" w:eastAsia="Times New Roman" w:hAnsi="Times New Roman"/>
          <w:b w:val="false"/>
          <w:bCs w:val="false"/>
          <w:i w:val="false"/>
          <w:iCs w:val="false"/>
          <w:caps w:val="false"/>
          <w:sz w:val="24"/>
          <w:szCs w:val="24"/>
        </w:rPr>
        <w:t xml:space="preserve"> en route, the repair of which is evidenced by the enclosed repair invoice. The movement was covered by a valid tax invoice and an e-way bill that was valid when generated; the short overrun of its validity, caused by a breakdown beyond the Company’s control, is a technical lapse unaccompanied by any intent to evade tax. The Hon’ble Supreme Court has held that detention under Section 129 is not warranted absent intent to evade. The goods and the conveyance are liable to be released.</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consignment.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supplied goods to M/s [____] at [Jaipur] under Tax Invoice No. [____] dated [____], value Rs. [____], moved by Truck No. [____] under e-way bill No. [____] dated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breakdown and expiry. </w:t>
      </w:r>
      <w:r>
        <w:rPr>
          <w:rFonts w:ascii="Times New Roman" w:cs="Times New Roman" w:eastAsia="Times New Roman" w:hAnsi="Times New Roman"/>
          <w:b w:val="false"/>
          <w:bCs w:val="false"/>
          <w:i w:val="false"/>
          <w:iCs w:val="false"/>
          <w:caps w:val="false"/>
          <w:sz w:val="24"/>
          <w:szCs w:val="24"/>
        </w:rPr>
        <w:t xml:space="preserve">The vehicle suffered a breakdown on [____] during the movement; it was repaired on [____] by M/s [____] (repair invoice enclosed). On account of the time lost in the breakdown and repair, the e-way bill expired on [____] before the goods could reach the destination.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detention. </w:t>
      </w:r>
      <w:r>
        <w:rPr>
          <w:rFonts w:ascii="Times New Roman" w:cs="Times New Roman" w:eastAsia="Times New Roman" w:hAnsi="Times New Roman"/>
          <w:b w:val="false"/>
          <w:bCs w:val="false"/>
          <w:i w:val="false"/>
          <w:iCs w:val="false"/>
          <w:caps w:val="false"/>
          <w:sz w:val="24"/>
          <w:szCs w:val="24"/>
        </w:rPr>
        <w:t xml:space="preserve">The truck was intercepted on [____] and detained, and a notice in Form GST MOV-07 issued under Section 129, the sole ground being the expiry of the e-way bill.</w:t>
      </w:r>
    </w:p>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Expiry of an e-way bill caused by a breakdown, without intent to evade, does not justify detention — Satyam Shivam Papers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Detention and penalty under Section 129 are directed at evasion. A short expiry of the e-way bill caused by a genuine breakdown is a technical lapse beyond the Company’s control and betrays no intent to evade. Reliance is placed on </w:t>
      </w:r>
      <w:r>
        <w:rPr>
          <w:rFonts w:ascii="Times New Roman" w:cs="Times New Roman" w:eastAsia="Times New Roman" w:hAnsi="Times New Roman"/>
          <w:b w:val="false"/>
          <w:bCs w:val="false"/>
          <w:i/>
          <w:iCs/>
          <w:caps w:val="false"/>
          <w:sz w:val="24"/>
          <w:szCs w:val="24"/>
        </w:rPr>
        <w:t xml:space="preserve">Assistant Commissioner (ST) v. Satyam Shivam Papers Pvt. Ltd.</w:t>
      </w:r>
      <w:r>
        <w:rPr>
          <w:rFonts w:ascii="Times New Roman" w:cs="Times New Roman" w:eastAsia="Times New Roman" w:hAnsi="Times New Roman"/>
          <w:b w:val="false"/>
          <w:bCs w:val="false"/>
          <w:i w:val="false"/>
          <w:iCs w:val="false"/>
          <w:caps w:val="false"/>
          <w:sz w:val="24"/>
          <w:szCs w:val="24"/>
        </w:rPr>
        <w:t xml:space="preserve">, Supreme Court, SLP(C) No. 21132 of 2021, order dated 12.01.2022 (2022 (1) TMI 954 (SC) / (2022) 14 SCC 157), affirming the Telangana High Court in W.P. No. 9688 of 2020, dated 02.06.2021 [VERIFY]. The relevant observation, reproduced as relied upon, is:</w:t>
      </w:r>
    </w:p>
    <w:p>
      <w:pPr>
        <w:spacing w:after="140" w:line="264"/>
        <w:ind w:left="720" w:right="360"/>
        <w:jc w:val="both"/>
      </w:pPr>
      <w:r>
        <w:rPr>
          <w:rFonts w:ascii="Times New Roman" w:cs="Times New Roman" w:eastAsia="Times New Roman" w:hAnsi="Times New Roman"/>
          <w:i/>
          <w:iCs/>
          <w:sz w:val="22"/>
          <w:szCs w:val="22"/>
        </w:rPr>
        <w:t xml:space="preserve">There was no intent on the part of the writ petitioner to evade tax and rather, the goods in question could not be taken to the destination within time for reasons beyond the control of the writ petitioner including the traffic blockage due to agitation. The High Court has rightly come to the conclusion that the assertion of the petitioner that the conveyance could not reach the destination in time on account of reasons beyond its control could not have been brushed aside.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principle squarely applies: the goods could not reach the destination within the validity of the e-way bill for reasons beyond the Company’s control (the breakdown), and there is no material of any intent to evade.</w:t>
      </w:r>
    </w:p>
    <w:p>
      <w:pPr>
        <w:pStyle w:val="Heading2"/>
        <w:spacing w:after="140" w:before="200"/>
      </w:pPr>
      <w:r>
        <w:rPr>
          <w:rFonts w:ascii="Times New Roman" w:cs="Times New Roman" w:eastAsia="Times New Roman" w:hAnsi="Times New Roman"/>
          <w:b/>
          <w:bCs/>
          <w:sz w:val="24"/>
          <w:szCs w:val="24"/>
        </w:rPr>
        <w:t xml:space="preserve">Ground 2: The documents were genuine and complete; at most a minor / nominal consequence follows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movement was covered by a valid invoice and an e-way bill valid at generation; nothing was concealed and no discrepancy in the goods is alleged. Consistently with the Board’s Circular No. 64/38/2018-GST dated 14.09.2018 [VERIFY] on minor discrepancies, and the line of High Court authority setting aside detention for a bona fide e-way bill expiry, the levy of tax and penalty under Section 129 is not warranted; at most a nominal penalty under Section 125 could apply.</w:t>
      </w:r>
    </w:p>
    <w:p>
      <w:pPr>
        <w:pStyle w:val="Heading2"/>
        <w:spacing w:after="140" w:before="200"/>
      </w:pPr>
      <w:r>
        <w:rPr>
          <w:rFonts w:ascii="Times New Roman" w:cs="Times New Roman" w:eastAsia="Times New Roman" w:hAnsi="Times New Roman"/>
          <w:b/>
          <w:bCs/>
          <w:sz w:val="24"/>
          <w:szCs w:val="24"/>
        </w:rPr>
        <w:t xml:space="preserve">Ground 3: Release of the goods and the conveyance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goods and the conveyance ought to be released forthwith. The Company is willing, under protest, to furnish such security as the law permits to secure immediate release.</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RELEASE the goods and the conveyance (Truck No. [____]) forthwith;</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expiry of the e-way bill, caused by a vehicle breakdown and without intent to evade, does not warrant proceedings under Section 129;</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proceeding under Form GST MOV-07 / Section 129, at most a nominal penalty under Section 125 applying;</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125, 129 of the CGST Act, 2017; Rule 138 (including Rule 138(10) on validity / extension) of the CGST Rules, 2017; Forms GST MOV-06 and MOV-07.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Assistant Commissioner (ST) v. Satyam Shivam Papers Pvt. Ltd., Supreme Court, SLP(C) No. 21132 of 2021, order dated 12.01.2022 (2022 (1) TMI 954 (SC) / (2022) 14 SCC 157), affirming Telangana HC, W.P. No. 9688 of 2020, dated 02.06.2021.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64/38/2018-GST dated 14.09.2018. [VERIFY]</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2026-06-13T08:26:23.141Z</dcterms:created>
  <dcterms:modified xsi:type="dcterms:W3CDTF">2026-06-13T08:26:23.141Z</dcterms:modified>
</cp:coreProperties>
</file>

<file path=docProps/custom.xml><?xml version="1.0" encoding="utf-8"?>
<Properties xmlns="http://schemas.openxmlformats.org/officeDocument/2006/custom-properties" xmlns:vt="http://schemas.openxmlformats.org/officeDocument/2006/docPropsVTypes"/>
</file>